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7FB" w:rsidRDefault="002E2AD6">
      <w:pPr>
        <w:pStyle w:val="BodyText"/>
        <w:ind w:left="112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6508320" cy="8482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320" cy="848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7FB" w:rsidRDefault="00C017FB">
      <w:pPr>
        <w:pStyle w:val="BodyText"/>
        <w:spacing w:before="1"/>
        <w:rPr>
          <w:sz w:val="10"/>
        </w:rPr>
      </w:pPr>
    </w:p>
    <w:p w:rsidR="00C017FB" w:rsidRDefault="002E2AD6" w:rsidP="00CB6ED1">
      <w:pPr>
        <w:pStyle w:val="Title"/>
        <w:spacing w:line="276" w:lineRule="auto"/>
      </w:pPr>
      <w:r>
        <w:t>MINISTRIA E INFRASTRUKTURËS DHE ENERGJISË</w:t>
      </w:r>
      <w:r>
        <w:rPr>
          <w:spacing w:val="-58"/>
        </w:rPr>
        <w:t xml:space="preserve"> </w:t>
      </w:r>
      <w:r>
        <w:t>AGJENCIA KOMBËTARE E BURIMEVE NATYRORE</w:t>
      </w:r>
      <w:r>
        <w:rPr>
          <w:spacing w:val="-57"/>
        </w:rPr>
        <w:t xml:space="preserve"> </w:t>
      </w:r>
      <w:r>
        <w:t>DREJTORIA</w:t>
      </w:r>
      <w:r>
        <w:rPr>
          <w:spacing w:val="-1"/>
        </w:rPr>
        <w:t xml:space="preserve"> </w:t>
      </w:r>
      <w:r w:rsidR="00CB6ED1">
        <w:t>MINERARE</w:t>
      </w:r>
    </w:p>
    <w:p w:rsidR="00C017FB" w:rsidRDefault="00C017FB">
      <w:pPr>
        <w:pStyle w:val="BodyText"/>
        <w:rPr>
          <w:sz w:val="26"/>
        </w:rPr>
      </w:pPr>
    </w:p>
    <w:p w:rsidR="00C017FB" w:rsidRDefault="00C017FB">
      <w:pPr>
        <w:pStyle w:val="BodyText"/>
        <w:rPr>
          <w:sz w:val="26"/>
        </w:rPr>
      </w:pPr>
    </w:p>
    <w:p w:rsidR="00C017FB" w:rsidRDefault="002E2AD6">
      <w:pPr>
        <w:tabs>
          <w:tab w:val="left" w:pos="1959"/>
        </w:tabs>
        <w:spacing w:before="199"/>
        <w:ind w:left="519"/>
        <w:rPr>
          <w:b/>
          <w:i/>
          <w:sz w:val="24"/>
        </w:rPr>
      </w:pPr>
      <w:r>
        <w:rPr>
          <w:b/>
          <w:sz w:val="24"/>
        </w:rPr>
        <w:t>Lënda:</w:t>
      </w:r>
      <w:r>
        <w:rPr>
          <w:b/>
          <w:sz w:val="24"/>
        </w:rPr>
        <w:tab/>
      </w:r>
      <w:r>
        <w:rPr>
          <w:b/>
          <w:i/>
          <w:sz w:val="24"/>
        </w:rPr>
        <w:t>Kthim përgjigje</w:t>
      </w:r>
    </w:p>
    <w:p w:rsidR="00C017FB" w:rsidRDefault="00C017FB">
      <w:pPr>
        <w:pStyle w:val="BodyText"/>
        <w:rPr>
          <w:i/>
          <w:sz w:val="26"/>
        </w:rPr>
      </w:pPr>
    </w:p>
    <w:p w:rsidR="00C017FB" w:rsidRDefault="00C017FB">
      <w:pPr>
        <w:pStyle w:val="BodyText"/>
        <w:spacing w:before="10"/>
        <w:rPr>
          <w:sz w:val="20"/>
        </w:rPr>
      </w:pPr>
    </w:p>
    <w:p w:rsidR="00C017FB" w:rsidRDefault="002E2AD6">
      <w:pPr>
        <w:ind w:left="519" w:right="587"/>
        <w:rPr>
          <w:i/>
          <w:sz w:val="24"/>
        </w:rPr>
      </w:pPr>
      <w:r>
        <w:rPr>
          <w:sz w:val="24"/>
        </w:rPr>
        <w:t>Në</w:t>
      </w:r>
      <w:r>
        <w:rPr>
          <w:spacing w:val="15"/>
          <w:sz w:val="24"/>
        </w:rPr>
        <w:t xml:space="preserve"> </w:t>
      </w:r>
      <w:r>
        <w:rPr>
          <w:sz w:val="24"/>
        </w:rPr>
        <w:t>përgjigje</w:t>
      </w:r>
      <w:r>
        <w:rPr>
          <w:spacing w:val="18"/>
          <w:sz w:val="24"/>
        </w:rPr>
        <w:t xml:space="preserve"> </w:t>
      </w:r>
      <w:r>
        <w:rPr>
          <w:sz w:val="24"/>
        </w:rPr>
        <w:t>të</w:t>
      </w:r>
      <w:r>
        <w:rPr>
          <w:spacing w:val="17"/>
          <w:sz w:val="24"/>
        </w:rPr>
        <w:t xml:space="preserve"> </w:t>
      </w:r>
      <w:r>
        <w:rPr>
          <w:sz w:val="24"/>
        </w:rPr>
        <w:t>E-mailit</w:t>
      </w:r>
      <w:r>
        <w:rPr>
          <w:spacing w:val="16"/>
          <w:sz w:val="24"/>
        </w:rPr>
        <w:t xml:space="preserve"> </w:t>
      </w:r>
      <w:r>
        <w:rPr>
          <w:sz w:val="24"/>
        </w:rPr>
        <w:t>tuaj,</w:t>
      </w:r>
      <w:r>
        <w:rPr>
          <w:spacing w:val="18"/>
          <w:sz w:val="24"/>
        </w:rPr>
        <w:t xml:space="preserve"> </w:t>
      </w:r>
      <w:r>
        <w:rPr>
          <w:sz w:val="24"/>
        </w:rPr>
        <w:t>datë</w:t>
      </w:r>
      <w:r>
        <w:rPr>
          <w:spacing w:val="17"/>
          <w:sz w:val="24"/>
        </w:rPr>
        <w:t xml:space="preserve"> </w:t>
      </w:r>
      <w:r>
        <w:rPr>
          <w:sz w:val="24"/>
        </w:rPr>
        <w:t>2</w:t>
      </w:r>
      <w:r w:rsidR="009860E8">
        <w:rPr>
          <w:sz w:val="24"/>
        </w:rPr>
        <w:t>3</w:t>
      </w:r>
      <w:bookmarkStart w:id="0" w:name="_GoBack"/>
      <w:bookmarkEnd w:id="0"/>
      <w:r>
        <w:rPr>
          <w:sz w:val="24"/>
        </w:rPr>
        <w:t>.03.2024,</w:t>
      </w:r>
      <w:r>
        <w:rPr>
          <w:spacing w:val="17"/>
          <w:sz w:val="24"/>
        </w:rPr>
        <w:t xml:space="preserve"> </w:t>
      </w:r>
      <w:r>
        <w:rPr>
          <w:sz w:val="24"/>
        </w:rPr>
        <w:t>me</w:t>
      </w:r>
      <w:r>
        <w:rPr>
          <w:spacing w:val="17"/>
          <w:sz w:val="24"/>
        </w:rPr>
        <w:t xml:space="preserve"> </w:t>
      </w:r>
      <w:r>
        <w:rPr>
          <w:sz w:val="24"/>
        </w:rPr>
        <w:t>lëndë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“Kërkesë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për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informacion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mbi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minierat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Urianiumit” ju informojmë:</w:t>
      </w:r>
    </w:p>
    <w:p w:rsidR="00C017FB" w:rsidRDefault="00C017FB">
      <w:pPr>
        <w:pStyle w:val="BodyText"/>
        <w:spacing w:before="1"/>
        <w:rPr>
          <w:i/>
          <w:sz w:val="21"/>
        </w:rPr>
      </w:pPr>
    </w:p>
    <w:p w:rsidR="00C017FB" w:rsidRDefault="002E2AD6">
      <w:pPr>
        <w:pStyle w:val="ListParagraph"/>
        <w:numPr>
          <w:ilvl w:val="0"/>
          <w:numId w:val="1"/>
        </w:numPr>
        <w:tabs>
          <w:tab w:val="left" w:pos="1240"/>
        </w:tabs>
        <w:spacing w:line="276" w:lineRule="auto"/>
        <w:jc w:val="both"/>
        <w:rPr>
          <w:sz w:val="24"/>
        </w:rPr>
      </w:pPr>
      <w:r>
        <w:rPr>
          <w:sz w:val="24"/>
        </w:rPr>
        <w:t>Në Shqipëri nuk ka pasur miniera të shfrytëzimit të urianiumit. Nga të dhënat e</w:t>
      </w:r>
      <w:r>
        <w:rPr>
          <w:spacing w:val="1"/>
          <w:sz w:val="24"/>
        </w:rPr>
        <w:t xml:space="preserve"> </w:t>
      </w:r>
      <w:r>
        <w:rPr>
          <w:sz w:val="24"/>
        </w:rPr>
        <w:t>ndryshme rezulton se në objektin Nimçë të Kukësit janë kryer vetëm punime</w:t>
      </w:r>
      <w:r>
        <w:rPr>
          <w:spacing w:val="1"/>
          <w:sz w:val="24"/>
        </w:rPr>
        <w:t xml:space="preserve"> </w:t>
      </w:r>
      <w:r>
        <w:rPr>
          <w:sz w:val="24"/>
        </w:rPr>
        <w:t>gjeologjike</w:t>
      </w:r>
      <w:r>
        <w:rPr>
          <w:spacing w:val="-2"/>
          <w:sz w:val="24"/>
        </w:rPr>
        <w:t xml:space="preserve"> </w:t>
      </w:r>
      <w:r>
        <w:rPr>
          <w:sz w:val="24"/>
        </w:rPr>
        <w:t>të kërkim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zbulimit.</w:t>
      </w:r>
    </w:p>
    <w:p w:rsidR="00C017FB" w:rsidRDefault="002E2AD6">
      <w:pPr>
        <w:pStyle w:val="ListParagraph"/>
        <w:numPr>
          <w:ilvl w:val="0"/>
          <w:numId w:val="1"/>
        </w:numPr>
        <w:tabs>
          <w:tab w:val="left" w:pos="1240"/>
        </w:tabs>
        <w:spacing w:before="121" w:line="276" w:lineRule="auto"/>
        <w:ind w:right="1360"/>
        <w:jc w:val="both"/>
        <w:rPr>
          <w:sz w:val="24"/>
        </w:rPr>
      </w:pPr>
      <w:r>
        <w:rPr>
          <w:sz w:val="24"/>
        </w:rPr>
        <w:t>Procedura e mbylljes së Minierave në vendin tonë është kryer në përputhje me</w:t>
      </w:r>
      <w:r>
        <w:rPr>
          <w:spacing w:val="1"/>
          <w:sz w:val="24"/>
        </w:rPr>
        <w:t xml:space="preserve"> </w:t>
      </w:r>
      <w:r>
        <w:rPr>
          <w:sz w:val="24"/>
        </w:rPr>
        <w:t>ligjin minerar Nr 7796, datë 17.02.1994</w:t>
      </w:r>
      <w:r>
        <w:rPr>
          <w:spacing w:val="1"/>
          <w:sz w:val="24"/>
        </w:rPr>
        <w:t xml:space="preserve"> </w:t>
      </w:r>
      <w:r>
        <w:rPr>
          <w:sz w:val="24"/>
        </w:rPr>
        <w:t>i amenduar me ligjin</w:t>
      </w:r>
      <w:r>
        <w:rPr>
          <w:spacing w:val="1"/>
          <w:sz w:val="24"/>
        </w:rPr>
        <w:t xml:space="preserve"> </w:t>
      </w:r>
      <w:r>
        <w:rPr>
          <w:sz w:val="24"/>
        </w:rPr>
        <w:t>Nr</w:t>
      </w:r>
      <w:r w:rsidR="00CB6ED1">
        <w:rPr>
          <w:sz w:val="24"/>
        </w:rPr>
        <w:t>.</w:t>
      </w:r>
      <w:r>
        <w:rPr>
          <w:sz w:val="24"/>
        </w:rPr>
        <w:t xml:space="preserve"> 10 304, datë</w:t>
      </w:r>
      <w:r>
        <w:rPr>
          <w:spacing w:val="1"/>
          <w:sz w:val="24"/>
        </w:rPr>
        <w:t xml:space="preserve"> </w:t>
      </w:r>
      <w:r>
        <w:rPr>
          <w:sz w:val="24"/>
        </w:rPr>
        <w:t>15.07.2010”</w:t>
      </w:r>
      <w:r>
        <w:rPr>
          <w:spacing w:val="27"/>
          <w:sz w:val="24"/>
        </w:rPr>
        <w:t xml:space="preserve"> </w:t>
      </w:r>
      <w:r>
        <w:rPr>
          <w:sz w:val="24"/>
        </w:rPr>
        <w:t>Për</w:t>
      </w:r>
      <w:r>
        <w:rPr>
          <w:spacing w:val="27"/>
          <w:sz w:val="24"/>
        </w:rPr>
        <w:t xml:space="preserve"> </w:t>
      </w:r>
      <w:r>
        <w:rPr>
          <w:sz w:val="24"/>
        </w:rPr>
        <w:t>sektorin</w:t>
      </w:r>
      <w:r>
        <w:rPr>
          <w:spacing w:val="28"/>
          <w:sz w:val="24"/>
        </w:rPr>
        <w:t xml:space="preserve"> </w:t>
      </w:r>
      <w:r>
        <w:rPr>
          <w:sz w:val="24"/>
        </w:rPr>
        <w:t>minerar</w:t>
      </w:r>
      <w:r>
        <w:rPr>
          <w:spacing w:val="28"/>
          <w:sz w:val="24"/>
        </w:rPr>
        <w:t xml:space="preserve"> </w:t>
      </w:r>
      <w:r>
        <w:rPr>
          <w:sz w:val="24"/>
        </w:rPr>
        <w:t>në</w:t>
      </w:r>
      <w:r>
        <w:rPr>
          <w:spacing w:val="27"/>
          <w:sz w:val="24"/>
        </w:rPr>
        <w:t xml:space="preserve"> </w:t>
      </w:r>
      <w:r>
        <w:rPr>
          <w:sz w:val="24"/>
        </w:rPr>
        <w:t>Repuklikën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Shqipërisë”</w:t>
      </w:r>
      <w:r>
        <w:rPr>
          <w:spacing w:val="29"/>
          <w:sz w:val="24"/>
        </w:rPr>
        <w:t xml:space="preserve"> </w:t>
      </w:r>
      <w:r>
        <w:rPr>
          <w:sz w:val="24"/>
        </w:rPr>
        <w:t>dhe</w:t>
      </w:r>
      <w:r>
        <w:rPr>
          <w:spacing w:val="28"/>
          <w:sz w:val="24"/>
        </w:rPr>
        <w:t xml:space="preserve"> </w:t>
      </w:r>
      <w:r>
        <w:rPr>
          <w:sz w:val="24"/>
        </w:rPr>
        <w:t>Vendimeve</w:t>
      </w:r>
      <w:r>
        <w:rPr>
          <w:spacing w:val="-57"/>
          <w:sz w:val="24"/>
        </w:rPr>
        <w:t xml:space="preserve"> </w:t>
      </w:r>
      <w:r>
        <w:rPr>
          <w:sz w:val="24"/>
        </w:rPr>
        <w:t>të Këshillit të Ministrave. Minierat e mbyllura ose në proces mbyllje janë në</w:t>
      </w:r>
      <w:r>
        <w:rPr>
          <w:spacing w:val="1"/>
          <w:sz w:val="24"/>
        </w:rPr>
        <w:t xml:space="preserve"> </w:t>
      </w:r>
      <w:r>
        <w:rPr>
          <w:sz w:val="24"/>
        </w:rPr>
        <w:t>varësi administrative të “Albminera” sha, “Alchrom” sha dhe “Albbakër”sha.</w:t>
      </w:r>
      <w:r>
        <w:rPr>
          <w:spacing w:val="1"/>
          <w:sz w:val="24"/>
        </w:rPr>
        <w:t xml:space="preserve"> </w:t>
      </w:r>
      <w:r>
        <w:rPr>
          <w:sz w:val="24"/>
        </w:rPr>
        <w:t>Subjektet private pas vitit 1994, në procedurën e marrjes së lejes minerare të</w:t>
      </w:r>
      <w:r>
        <w:rPr>
          <w:spacing w:val="1"/>
          <w:sz w:val="24"/>
        </w:rPr>
        <w:t xml:space="preserve"> </w:t>
      </w:r>
      <w:r>
        <w:rPr>
          <w:sz w:val="24"/>
        </w:rPr>
        <w:t>shfrytëzimit</w:t>
      </w:r>
      <w:r>
        <w:rPr>
          <w:spacing w:val="1"/>
          <w:sz w:val="24"/>
        </w:rPr>
        <w:t xml:space="preserve"> </w:t>
      </w:r>
      <w:r>
        <w:rPr>
          <w:sz w:val="24"/>
        </w:rPr>
        <w:t>pranë</w:t>
      </w:r>
      <w:r>
        <w:rPr>
          <w:spacing w:val="1"/>
          <w:sz w:val="24"/>
        </w:rPr>
        <w:t xml:space="preserve"> </w:t>
      </w:r>
      <w:r>
        <w:rPr>
          <w:sz w:val="24"/>
        </w:rPr>
        <w:t>strukturës</w:t>
      </w:r>
      <w:r>
        <w:rPr>
          <w:spacing w:val="1"/>
          <w:sz w:val="24"/>
        </w:rPr>
        <w:t xml:space="preserve"> </w:t>
      </w:r>
      <w:r>
        <w:rPr>
          <w:sz w:val="24"/>
        </w:rPr>
        <w:t>përgjegjëse</w:t>
      </w:r>
      <w:r>
        <w:rPr>
          <w:spacing w:val="1"/>
          <w:sz w:val="24"/>
        </w:rPr>
        <w:t xml:space="preserve"> </w:t>
      </w:r>
      <w:r>
        <w:rPr>
          <w:sz w:val="24"/>
        </w:rPr>
        <w:t>së</w:t>
      </w:r>
      <w:r>
        <w:rPr>
          <w:spacing w:val="1"/>
          <w:sz w:val="24"/>
        </w:rPr>
        <w:t xml:space="preserve"> </w:t>
      </w:r>
      <w:r>
        <w:rPr>
          <w:sz w:val="24"/>
        </w:rPr>
        <w:t>bashku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projektin</w:t>
      </w:r>
      <w:r>
        <w:rPr>
          <w:spacing w:val="1"/>
          <w:sz w:val="24"/>
        </w:rPr>
        <w:t xml:space="preserve"> </w:t>
      </w:r>
      <w:r>
        <w:rPr>
          <w:sz w:val="24"/>
        </w:rPr>
        <w:t>fillestar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shfrytëzimit</w:t>
      </w:r>
      <w:r>
        <w:rPr>
          <w:spacing w:val="46"/>
          <w:sz w:val="24"/>
        </w:rPr>
        <w:t xml:space="preserve"> </w:t>
      </w:r>
      <w:r>
        <w:rPr>
          <w:sz w:val="24"/>
        </w:rPr>
        <w:t>depozitojnë</w:t>
      </w:r>
      <w:r>
        <w:rPr>
          <w:spacing w:val="45"/>
          <w:sz w:val="24"/>
        </w:rPr>
        <w:t xml:space="preserve"> </w:t>
      </w:r>
      <w:r>
        <w:rPr>
          <w:sz w:val="24"/>
        </w:rPr>
        <w:t>dhe</w:t>
      </w:r>
      <w:r>
        <w:rPr>
          <w:spacing w:val="45"/>
          <w:sz w:val="24"/>
        </w:rPr>
        <w:t xml:space="preserve"> </w:t>
      </w:r>
      <w:r>
        <w:rPr>
          <w:sz w:val="24"/>
        </w:rPr>
        <w:t>projektin</w:t>
      </w:r>
      <w:r>
        <w:rPr>
          <w:spacing w:val="46"/>
          <w:sz w:val="24"/>
        </w:rPr>
        <w:t xml:space="preserve"> 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mbylljes,</w:t>
      </w:r>
      <w:r>
        <w:rPr>
          <w:spacing w:val="46"/>
          <w:sz w:val="24"/>
        </w:rPr>
        <w:t xml:space="preserve"> </w:t>
      </w:r>
      <w:r>
        <w:rPr>
          <w:sz w:val="24"/>
        </w:rPr>
        <w:t>të</w:t>
      </w:r>
      <w:r>
        <w:rPr>
          <w:spacing w:val="46"/>
          <w:sz w:val="24"/>
        </w:rPr>
        <w:t xml:space="preserve"> </w:t>
      </w:r>
      <w:r>
        <w:rPr>
          <w:sz w:val="24"/>
        </w:rPr>
        <w:t>hartuar</w:t>
      </w:r>
      <w:r>
        <w:rPr>
          <w:spacing w:val="46"/>
          <w:sz w:val="24"/>
        </w:rPr>
        <w:t xml:space="preserve"> </w:t>
      </w:r>
      <w:r>
        <w:rPr>
          <w:sz w:val="24"/>
        </w:rPr>
        <w:t>në</w:t>
      </w:r>
      <w:r>
        <w:rPr>
          <w:spacing w:val="45"/>
          <w:sz w:val="24"/>
        </w:rPr>
        <w:t xml:space="preserve"> </w:t>
      </w:r>
      <w:r>
        <w:rPr>
          <w:sz w:val="24"/>
        </w:rPr>
        <w:t>përputhje</w:t>
      </w:r>
      <w:r>
        <w:rPr>
          <w:spacing w:val="46"/>
          <w:sz w:val="24"/>
        </w:rPr>
        <w:t xml:space="preserve"> </w:t>
      </w:r>
      <w:r>
        <w:rPr>
          <w:sz w:val="24"/>
        </w:rPr>
        <w:t>me</w:t>
      </w:r>
      <w:r>
        <w:rPr>
          <w:spacing w:val="-58"/>
          <w:sz w:val="24"/>
        </w:rPr>
        <w:t xml:space="preserve"> </w:t>
      </w:r>
      <w:r>
        <w:rPr>
          <w:sz w:val="24"/>
        </w:rPr>
        <w:t>aktet ligjore dhe nënligjore, mbyllja e minierave bëhet nga vetë subjekti ose nga</w:t>
      </w:r>
      <w:r>
        <w:rPr>
          <w:spacing w:val="1"/>
          <w:sz w:val="24"/>
        </w:rPr>
        <w:t xml:space="preserve"> </w:t>
      </w:r>
      <w:r>
        <w:rPr>
          <w:sz w:val="24"/>
        </w:rPr>
        <w:t>subjekte të specializuara. Mirëmbajtja e minierave të braktisura realizohet sipas</w:t>
      </w:r>
      <w:r>
        <w:rPr>
          <w:spacing w:val="1"/>
          <w:sz w:val="24"/>
        </w:rPr>
        <w:t xml:space="preserve"> </w:t>
      </w:r>
      <w:r>
        <w:rPr>
          <w:sz w:val="24"/>
        </w:rPr>
        <w:t>planit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monitorimit</w:t>
      </w:r>
      <w:r>
        <w:rPr>
          <w:spacing w:val="1"/>
          <w:sz w:val="24"/>
        </w:rPr>
        <w:t xml:space="preserve"> </w:t>
      </w:r>
      <w:r>
        <w:rPr>
          <w:sz w:val="24"/>
        </w:rPr>
        <w:t>postminerar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hartuar</w:t>
      </w:r>
      <w:r>
        <w:rPr>
          <w:spacing w:val="1"/>
          <w:sz w:val="24"/>
        </w:rPr>
        <w:t xml:space="preserve"> </w:t>
      </w:r>
      <w:r>
        <w:rPr>
          <w:sz w:val="24"/>
        </w:rPr>
        <w:t>nga</w:t>
      </w:r>
      <w:r>
        <w:rPr>
          <w:spacing w:val="1"/>
          <w:sz w:val="24"/>
        </w:rPr>
        <w:t xml:space="preserve"> </w:t>
      </w:r>
      <w:r>
        <w:rPr>
          <w:sz w:val="24"/>
        </w:rPr>
        <w:t>strukturat</w:t>
      </w:r>
      <w:r>
        <w:rPr>
          <w:spacing w:val="1"/>
          <w:sz w:val="24"/>
        </w:rPr>
        <w:t xml:space="preserve"> </w:t>
      </w:r>
      <w:r>
        <w:rPr>
          <w:sz w:val="24"/>
        </w:rPr>
        <w:t>përgjegjëse</w:t>
      </w:r>
      <w:r>
        <w:rPr>
          <w:spacing w:val="1"/>
          <w:sz w:val="24"/>
        </w:rPr>
        <w:t xml:space="preserve"> </w:t>
      </w:r>
      <w:r>
        <w:rPr>
          <w:sz w:val="24"/>
        </w:rPr>
        <w:t>sipas</w:t>
      </w:r>
      <w:r>
        <w:rPr>
          <w:spacing w:val="1"/>
          <w:sz w:val="24"/>
        </w:rPr>
        <w:t xml:space="preserve"> </w:t>
      </w:r>
      <w:r>
        <w:rPr>
          <w:sz w:val="24"/>
        </w:rPr>
        <w:t>kritereve të përcaktuar në nenin 53 të ligjit Nr 10 304, datë 15.07.2010 “Për</w:t>
      </w:r>
      <w:r>
        <w:rPr>
          <w:spacing w:val="1"/>
          <w:sz w:val="24"/>
        </w:rPr>
        <w:t xml:space="preserve"> </w:t>
      </w:r>
      <w:r>
        <w:rPr>
          <w:sz w:val="24"/>
        </w:rPr>
        <w:t>sektorin</w:t>
      </w:r>
      <w:r>
        <w:rPr>
          <w:spacing w:val="-1"/>
          <w:sz w:val="24"/>
        </w:rPr>
        <w:t xml:space="preserve"> </w:t>
      </w:r>
      <w:r>
        <w:rPr>
          <w:sz w:val="24"/>
        </w:rPr>
        <w:t>minerar në</w:t>
      </w:r>
      <w:r>
        <w:rPr>
          <w:spacing w:val="-1"/>
          <w:sz w:val="24"/>
        </w:rPr>
        <w:t xml:space="preserve"> </w:t>
      </w:r>
      <w:r>
        <w:rPr>
          <w:sz w:val="24"/>
        </w:rPr>
        <w:t>Republikën e</w:t>
      </w:r>
      <w:r>
        <w:rPr>
          <w:spacing w:val="-1"/>
          <w:sz w:val="24"/>
        </w:rPr>
        <w:t xml:space="preserve"> </w:t>
      </w:r>
      <w:r>
        <w:rPr>
          <w:sz w:val="24"/>
        </w:rPr>
        <w:t>Shqipërisë”</w:t>
      </w:r>
      <w:r>
        <w:rPr>
          <w:spacing w:val="-3"/>
          <w:sz w:val="24"/>
        </w:rPr>
        <w:t xml:space="preserve"> </w:t>
      </w:r>
      <w:r>
        <w:rPr>
          <w:sz w:val="24"/>
        </w:rPr>
        <w:t>të ndryshuar.</w:t>
      </w:r>
    </w:p>
    <w:p w:rsidR="00C017FB" w:rsidRDefault="00C017FB">
      <w:pPr>
        <w:pStyle w:val="BodyText"/>
        <w:spacing w:before="8"/>
        <w:rPr>
          <w:sz w:val="20"/>
        </w:rPr>
      </w:pPr>
    </w:p>
    <w:p w:rsidR="00C017FB" w:rsidRDefault="002E2AD6">
      <w:pPr>
        <w:pStyle w:val="ListParagraph"/>
        <w:numPr>
          <w:ilvl w:val="0"/>
          <w:numId w:val="1"/>
        </w:numPr>
        <w:tabs>
          <w:tab w:val="left" w:pos="1240"/>
        </w:tabs>
        <w:spacing w:line="276" w:lineRule="auto"/>
        <w:ind w:right="1321"/>
        <w:jc w:val="both"/>
        <w:rPr>
          <w:sz w:val="24"/>
        </w:rPr>
      </w:pP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zbatim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shkresës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227</w:t>
      </w:r>
      <w:r>
        <w:rPr>
          <w:spacing w:val="1"/>
          <w:sz w:val="24"/>
        </w:rPr>
        <w:t xml:space="preserve"> </w:t>
      </w:r>
      <w:r>
        <w:rPr>
          <w:sz w:val="24"/>
        </w:rPr>
        <w:t>Prot,</w:t>
      </w:r>
      <w:r>
        <w:rPr>
          <w:spacing w:val="1"/>
          <w:sz w:val="24"/>
        </w:rPr>
        <w:t xml:space="preserve"> </w:t>
      </w:r>
      <w:r>
        <w:rPr>
          <w:sz w:val="24"/>
        </w:rPr>
        <w:t>datë</w:t>
      </w:r>
      <w:r>
        <w:rPr>
          <w:spacing w:val="1"/>
          <w:sz w:val="24"/>
        </w:rPr>
        <w:t xml:space="preserve"> </w:t>
      </w:r>
      <w:r>
        <w:rPr>
          <w:sz w:val="24"/>
        </w:rPr>
        <w:t>13.01.2004,</w:t>
      </w:r>
      <w:r>
        <w:rPr>
          <w:spacing w:val="1"/>
          <w:sz w:val="24"/>
        </w:rPr>
        <w:t xml:space="preserve"> </w:t>
      </w:r>
      <w:r>
        <w:rPr>
          <w:sz w:val="24"/>
        </w:rPr>
        <w:t>nga</w:t>
      </w:r>
      <w:r>
        <w:rPr>
          <w:spacing w:val="61"/>
          <w:sz w:val="24"/>
        </w:rPr>
        <w:t xml:space="preserve"> </w:t>
      </w:r>
      <w:r>
        <w:rPr>
          <w:sz w:val="24"/>
        </w:rPr>
        <w:t>Drejtoria</w:t>
      </w:r>
      <w:r>
        <w:rPr>
          <w:spacing w:val="6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përgjithshme e minierave në MIE, nga një grup i përbashket i ITNPM dhe i</w:t>
      </w:r>
      <w:r>
        <w:rPr>
          <w:spacing w:val="1"/>
          <w:sz w:val="24"/>
        </w:rPr>
        <w:t xml:space="preserve"> </w:t>
      </w:r>
      <w:r>
        <w:rPr>
          <w:sz w:val="24"/>
        </w:rPr>
        <w:t>qëndrës gjeofizike të SHGJSH Tiranë u hartua “Sudimi Tekniko-ekonomik dhe</w:t>
      </w:r>
      <w:r>
        <w:rPr>
          <w:spacing w:val="1"/>
          <w:sz w:val="24"/>
        </w:rPr>
        <w:t xml:space="preserve"> </w:t>
      </w:r>
      <w:r>
        <w:rPr>
          <w:sz w:val="24"/>
        </w:rPr>
        <w:t>projekti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mbylljes</w:t>
      </w:r>
      <w:r>
        <w:rPr>
          <w:spacing w:val="1"/>
          <w:sz w:val="24"/>
        </w:rPr>
        <w:t xml:space="preserve"> </w:t>
      </w:r>
      <w:r>
        <w:rPr>
          <w:sz w:val="24"/>
        </w:rPr>
        <w:t>së</w:t>
      </w:r>
      <w:r>
        <w:rPr>
          <w:spacing w:val="1"/>
          <w:sz w:val="24"/>
        </w:rPr>
        <w:t xml:space="preserve"> </w:t>
      </w:r>
      <w:r>
        <w:rPr>
          <w:sz w:val="24"/>
        </w:rPr>
        <w:t>punimeve</w:t>
      </w:r>
      <w:r>
        <w:rPr>
          <w:spacing w:val="1"/>
          <w:sz w:val="24"/>
        </w:rPr>
        <w:t xml:space="preserve"> </w:t>
      </w:r>
      <w:r>
        <w:rPr>
          <w:sz w:val="24"/>
        </w:rPr>
        <w:t>minerare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1"/>
          <w:sz w:val="24"/>
        </w:rPr>
        <w:t xml:space="preserve"> </w:t>
      </w:r>
      <w:r>
        <w:rPr>
          <w:sz w:val="24"/>
        </w:rPr>
        <w:t>gjeologjike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vendburimin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Nimçës</w:t>
      </w:r>
      <w:r>
        <w:rPr>
          <w:spacing w:val="1"/>
          <w:sz w:val="24"/>
        </w:rPr>
        <w:t xml:space="preserve"> </w:t>
      </w:r>
      <w:r>
        <w:rPr>
          <w:sz w:val="24"/>
        </w:rPr>
        <w:t>Kukës”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Projekti</w:t>
      </w:r>
      <w:r>
        <w:rPr>
          <w:spacing w:val="1"/>
          <w:sz w:val="24"/>
        </w:rPr>
        <w:t xml:space="preserve"> </w:t>
      </w:r>
      <w:r>
        <w:rPr>
          <w:sz w:val="24"/>
        </w:rPr>
        <w:t>2915,</w:t>
      </w:r>
      <w:r>
        <w:rPr>
          <w:spacing w:val="1"/>
          <w:sz w:val="24"/>
        </w:rPr>
        <w:t xml:space="preserve"> </w:t>
      </w:r>
      <w:r>
        <w:rPr>
          <w:sz w:val="24"/>
        </w:rPr>
        <w:t>Qershor</w:t>
      </w:r>
      <w:r>
        <w:rPr>
          <w:spacing w:val="1"/>
          <w:sz w:val="24"/>
        </w:rPr>
        <w:t xml:space="preserve"> </w:t>
      </w:r>
      <w:r>
        <w:rPr>
          <w:sz w:val="24"/>
        </w:rPr>
        <w:t>2004,</w:t>
      </w:r>
      <w:r>
        <w:rPr>
          <w:spacing w:val="1"/>
          <w:sz w:val="24"/>
        </w:rPr>
        <w:t xml:space="preserve"> </w:t>
      </w:r>
      <w:r>
        <w:rPr>
          <w:sz w:val="24"/>
        </w:rPr>
        <w:t>miratuar</w:t>
      </w:r>
      <w:r>
        <w:rPr>
          <w:spacing w:val="1"/>
          <w:sz w:val="24"/>
        </w:rPr>
        <w:t xml:space="preserve"> </w:t>
      </w:r>
      <w:r>
        <w:rPr>
          <w:sz w:val="24"/>
        </w:rPr>
        <w:t>nga</w:t>
      </w:r>
      <w:r>
        <w:rPr>
          <w:spacing w:val="1"/>
          <w:sz w:val="24"/>
        </w:rPr>
        <w:t xml:space="preserve"> </w:t>
      </w:r>
      <w:r>
        <w:rPr>
          <w:sz w:val="24"/>
        </w:rPr>
        <w:t>këshilli</w:t>
      </w:r>
      <w:r>
        <w:rPr>
          <w:spacing w:val="1"/>
          <w:sz w:val="24"/>
        </w:rPr>
        <w:t xml:space="preserve"> </w:t>
      </w:r>
      <w:r>
        <w:rPr>
          <w:sz w:val="24"/>
        </w:rPr>
        <w:t>shkencor</w:t>
      </w:r>
      <w:r>
        <w:rPr>
          <w:spacing w:val="58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ITNPM, me</w:t>
      </w:r>
      <w:r>
        <w:rPr>
          <w:spacing w:val="1"/>
          <w:sz w:val="24"/>
        </w:rPr>
        <w:t xml:space="preserve"> </w:t>
      </w:r>
      <w:r>
        <w:rPr>
          <w:sz w:val="24"/>
        </w:rPr>
        <w:t>Nr. 0415, datë</w:t>
      </w:r>
      <w:r>
        <w:rPr>
          <w:spacing w:val="-1"/>
          <w:sz w:val="24"/>
        </w:rPr>
        <w:t xml:space="preserve"> </w:t>
      </w:r>
      <w:r>
        <w:rPr>
          <w:sz w:val="24"/>
        </w:rPr>
        <w:t>07.06.2004.</w:t>
      </w:r>
    </w:p>
    <w:p w:rsidR="00C017FB" w:rsidRDefault="00C017FB">
      <w:pPr>
        <w:spacing w:line="276" w:lineRule="auto"/>
        <w:jc w:val="both"/>
        <w:rPr>
          <w:sz w:val="24"/>
        </w:rPr>
        <w:sectPr w:rsidR="00C017FB">
          <w:footerReference w:type="default" r:id="rId9"/>
          <w:type w:val="continuous"/>
          <w:pgSz w:w="11910" w:h="16840"/>
          <w:pgMar w:top="160" w:right="280" w:bottom="780" w:left="1180" w:header="720" w:footer="586" w:gutter="0"/>
          <w:pgNumType w:start="1"/>
          <w:cols w:space="720"/>
        </w:sectPr>
      </w:pPr>
    </w:p>
    <w:p w:rsidR="00C017FB" w:rsidRDefault="002E2AD6">
      <w:pPr>
        <w:pStyle w:val="ListParagraph"/>
        <w:numPr>
          <w:ilvl w:val="0"/>
          <w:numId w:val="1"/>
        </w:numPr>
        <w:tabs>
          <w:tab w:val="left" w:pos="1240"/>
        </w:tabs>
        <w:spacing w:before="79" w:line="276" w:lineRule="auto"/>
        <w:jc w:val="both"/>
        <w:rPr>
          <w:sz w:val="24"/>
        </w:rPr>
      </w:pPr>
      <w:r>
        <w:rPr>
          <w:sz w:val="24"/>
        </w:rPr>
        <w:lastRenderedPageBreak/>
        <w:t>Objektet gjeologjike të Nimçës në Kukës dhe Muhur në Dibër, nuk kanë qënë</w:t>
      </w:r>
      <w:r>
        <w:rPr>
          <w:spacing w:val="1"/>
          <w:sz w:val="24"/>
        </w:rPr>
        <w:t xml:space="preserve"> </w:t>
      </w:r>
      <w:r>
        <w:rPr>
          <w:sz w:val="24"/>
        </w:rPr>
        <w:t>asnjeherë në proces shfrytëzimi dhe për sa më sipër AKBN nuk ka të dhëna për</w:t>
      </w:r>
      <w:r>
        <w:rPr>
          <w:spacing w:val="1"/>
          <w:sz w:val="24"/>
        </w:rPr>
        <w:t xml:space="preserve"> </w:t>
      </w:r>
      <w:r>
        <w:rPr>
          <w:sz w:val="24"/>
        </w:rPr>
        <w:t>këto</w:t>
      </w:r>
      <w:r>
        <w:rPr>
          <w:spacing w:val="-1"/>
          <w:sz w:val="24"/>
        </w:rPr>
        <w:t xml:space="preserve"> </w:t>
      </w:r>
      <w:r>
        <w:rPr>
          <w:sz w:val="24"/>
        </w:rPr>
        <w:t>objekte.</w:t>
      </w:r>
    </w:p>
    <w:p w:rsidR="00C017FB" w:rsidRDefault="00C017FB">
      <w:pPr>
        <w:pStyle w:val="BodyText"/>
        <w:spacing w:before="11"/>
        <w:rPr>
          <w:sz w:val="20"/>
        </w:rPr>
      </w:pPr>
    </w:p>
    <w:p w:rsidR="00C017FB" w:rsidRDefault="002E2AD6">
      <w:pPr>
        <w:pStyle w:val="ListParagraph"/>
        <w:numPr>
          <w:ilvl w:val="0"/>
          <w:numId w:val="1"/>
        </w:numPr>
        <w:tabs>
          <w:tab w:val="left" w:pos="1240"/>
        </w:tabs>
        <w:spacing w:line="276" w:lineRule="auto"/>
        <w:jc w:val="both"/>
        <w:rPr>
          <w:sz w:val="24"/>
        </w:rPr>
      </w:pPr>
      <w:r>
        <w:rPr>
          <w:sz w:val="24"/>
        </w:rPr>
        <w:t>Nga AKBN nuk janë</w:t>
      </w:r>
      <w:r>
        <w:rPr>
          <w:spacing w:val="1"/>
          <w:sz w:val="24"/>
        </w:rPr>
        <w:t xml:space="preserve"> </w:t>
      </w:r>
      <w:r>
        <w:rPr>
          <w:sz w:val="24"/>
        </w:rPr>
        <w:t>kryer analiza konkrete të tokës dhe bimësisë afër objekteve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sipërcituara,</w:t>
      </w:r>
      <w:r>
        <w:rPr>
          <w:spacing w:val="1"/>
          <w:sz w:val="24"/>
        </w:rPr>
        <w:t xml:space="preserve"> </w:t>
      </w:r>
      <w:r>
        <w:rPr>
          <w:sz w:val="24"/>
        </w:rPr>
        <w:t>duke</w:t>
      </w:r>
      <w:r>
        <w:rPr>
          <w:spacing w:val="1"/>
          <w:sz w:val="24"/>
        </w:rPr>
        <w:t xml:space="preserve"> </w:t>
      </w:r>
      <w:r>
        <w:rPr>
          <w:sz w:val="24"/>
        </w:rPr>
        <w:t>mos</w:t>
      </w:r>
      <w:r>
        <w:rPr>
          <w:spacing w:val="1"/>
          <w:sz w:val="24"/>
        </w:rPr>
        <w:t xml:space="preserve"> </w:t>
      </w:r>
      <w:r>
        <w:rPr>
          <w:sz w:val="24"/>
        </w:rPr>
        <w:t>qenë</w:t>
      </w:r>
      <w:r>
        <w:rPr>
          <w:spacing w:val="1"/>
          <w:sz w:val="24"/>
        </w:rPr>
        <w:t xml:space="preserve"> </w:t>
      </w:r>
      <w:r>
        <w:rPr>
          <w:sz w:val="24"/>
        </w:rPr>
        <w:t>pjesë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detyrave</w:t>
      </w:r>
      <w:r>
        <w:rPr>
          <w:spacing w:val="1"/>
          <w:sz w:val="24"/>
        </w:rPr>
        <w:t xml:space="preserve"> </w:t>
      </w:r>
      <w:r>
        <w:rPr>
          <w:sz w:val="24"/>
        </w:rPr>
        <w:t>funksionale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saj.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informacione</w:t>
      </w:r>
      <w:r>
        <w:rPr>
          <w:spacing w:val="1"/>
          <w:sz w:val="24"/>
        </w:rPr>
        <w:t xml:space="preserve"> </w:t>
      </w:r>
      <w:r>
        <w:rPr>
          <w:sz w:val="24"/>
        </w:rPr>
        <w:t>më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detajuara</w:t>
      </w:r>
      <w:r>
        <w:rPr>
          <w:spacing w:val="1"/>
          <w:sz w:val="24"/>
        </w:rPr>
        <w:t xml:space="preserve"> </w:t>
      </w:r>
      <w:r>
        <w:rPr>
          <w:sz w:val="24"/>
        </w:rPr>
        <w:t>mund</w:t>
      </w:r>
      <w:r>
        <w:rPr>
          <w:spacing w:val="1"/>
          <w:sz w:val="24"/>
        </w:rPr>
        <w:t xml:space="preserve"> </w:t>
      </w:r>
      <w:r>
        <w:rPr>
          <w:sz w:val="24"/>
        </w:rPr>
        <w:t>ti</w:t>
      </w:r>
      <w:r>
        <w:rPr>
          <w:spacing w:val="1"/>
          <w:sz w:val="24"/>
        </w:rPr>
        <w:t xml:space="preserve"> </w:t>
      </w:r>
      <w:r>
        <w:rPr>
          <w:sz w:val="24"/>
        </w:rPr>
        <w:t>drejtoheni</w:t>
      </w:r>
      <w:r>
        <w:rPr>
          <w:spacing w:val="1"/>
          <w:sz w:val="24"/>
        </w:rPr>
        <w:t xml:space="preserve"> </w:t>
      </w:r>
      <w:r>
        <w:rPr>
          <w:sz w:val="24"/>
        </w:rPr>
        <w:t>Ministrisë</w:t>
      </w:r>
      <w:r>
        <w:rPr>
          <w:spacing w:val="1"/>
          <w:sz w:val="24"/>
        </w:rPr>
        <w:t xml:space="preserve"> </w:t>
      </w:r>
      <w:r>
        <w:rPr>
          <w:sz w:val="24"/>
        </w:rPr>
        <w:t>së</w:t>
      </w:r>
      <w:r>
        <w:rPr>
          <w:spacing w:val="1"/>
          <w:sz w:val="24"/>
        </w:rPr>
        <w:t xml:space="preserve"> </w:t>
      </w:r>
      <w:r>
        <w:rPr>
          <w:sz w:val="24"/>
        </w:rPr>
        <w:t>Turizmit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57"/>
          <w:sz w:val="24"/>
        </w:rPr>
        <w:t xml:space="preserve"> </w:t>
      </w:r>
      <w:r>
        <w:rPr>
          <w:sz w:val="24"/>
        </w:rPr>
        <w:t>Mjedisit</w:t>
      </w:r>
      <w:r>
        <w:rPr>
          <w:spacing w:val="-1"/>
          <w:sz w:val="24"/>
        </w:rPr>
        <w:t xml:space="preserve"> </w:t>
      </w:r>
      <w:r>
        <w:rPr>
          <w:sz w:val="24"/>
        </w:rPr>
        <w:t>dhe Agjencisë</w:t>
      </w:r>
      <w:r>
        <w:rPr>
          <w:spacing w:val="1"/>
          <w:sz w:val="24"/>
        </w:rPr>
        <w:t xml:space="preserve"> </w:t>
      </w:r>
      <w:r>
        <w:rPr>
          <w:sz w:val="24"/>
        </w:rPr>
        <w:t>Kombëtare</w:t>
      </w:r>
      <w:r>
        <w:rPr>
          <w:spacing w:val="-1"/>
          <w:sz w:val="24"/>
        </w:rPr>
        <w:t xml:space="preserve"> </w:t>
      </w:r>
      <w:r>
        <w:rPr>
          <w:sz w:val="24"/>
        </w:rPr>
        <w:t>të Mjedisit.</w:t>
      </w:r>
    </w:p>
    <w:p w:rsidR="00C017FB" w:rsidRDefault="002E2AD6">
      <w:pPr>
        <w:pStyle w:val="ListParagraph"/>
        <w:numPr>
          <w:ilvl w:val="0"/>
          <w:numId w:val="1"/>
        </w:numPr>
        <w:tabs>
          <w:tab w:val="left" w:pos="1240"/>
        </w:tabs>
        <w:spacing w:before="120" w:line="276" w:lineRule="auto"/>
        <w:jc w:val="both"/>
        <w:rPr>
          <w:sz w:val="24"/>
        </w:rPr>
      </w:pP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gjitha</w:t>
      </w:r>
      <w:r>
        <w:rPr>
          <w:spacing w:val="1"/>
          <w:sz w:val="24"/>
        </w:rPr>
        <w:t xml:space="preserve"> </w:t>
      </w:r>
      <w:r>
        <w:rPr>
          <w:sz w:val="24"/>
        </w:rPr>
        <w:t>hyrjet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punimeve</w:t>
      </w:r>
      <w:r>
        <w:rPr>
          <w:spacing w:val="1"/>
          <w:sz w:val="24"/>
        </w:rPr>
        <w:t xml:space="preserve"> </w:t>
      </w:r>
      <w:r>
        <w:rPr>
          <w:sz w:val="24"/>
        </w:rPr>
        <w:t>minerare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minierave,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cilat</w:t>
      </w:r>
      <w:r>
        <w:rPr>
          <w:spacing w:val="1"/>
          <w:sz w:val="24"/>
        </w:rPr>
        <w:t xml:space="preserve"> </w:t>
      </w:r>
      <w:r>
        <w:rPr>
          <w:sz w:val="24"/>
        </w:rPr>
        <w:t>ka</w:t>
      </w:r>
      <w:r>
        <w:rPr>
          <w:spacing w:val="1"/>
          <w:sz w:val="24"/>
        </w:rPr>
        <w:t xml:space="preserve"> </w:t>
      </w:r>
      <w:r>
        <w:rPr>
          <w:sz w:val="24"/>
        </w:rPr>
        <w:t>mbaruar</w:t>
      </w:r>
      <w:r>
        <w:rPr>
          <w:spacing w:val="1"/>
          <w:sz w:val="24"/>
        </w:rPr>
        <w:t xml:space="preserve"> </w:t>
      </w:r>
      <w:r>
        <w:rPr>
          <w:sz w:val="24"/>
        </w:rPr>
        <w:t>shfrytëzimi dhe janë jashtë funksionit, janë mbyllur me projekte të veçanta pasi</w:t>
      </w:r>
      <w:r>
        <w:rPr>
          <w:spacing w:val="1"/>
          <w:sz w:val="24"/>
        </w:rPr>
        <w:t xml:space="preserve"> </w:t>
      </w:r>
      <w:r>
        <w:rPr>
          <w:sz w:val="24"/>
        </w:rPr>
        <w:t>mund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jenë</w:t>
      </w:r>
      <w:r>
        <w:rPr>
          <w:spacing w:val="-1"/>
          <w:sz w:val="24"/>
        </w:rPr>
        <w:t xml:space="preserve"> </w:t>
      </w:r>
      <w:r>
        <w:rPr>
          <w:sz w:val="24"/>
        </w:rPr>
        <w:t>burim aksidentesh.</w:t>
      </w:r>
    </w:p>
    <w:p w:rsidR="00C017FB" w:rsidRDefault="002E2AD6">
      <w:pPr>
        <w:spacing w:before="118"/>
        <w:ind w:left="1239"/>
        <w:jc w:val="both"/>
        <w:rPr>
          <w:i/>
          <w:sz w:val="24"/>
        </w:rPr>
      </w:pPr>
      <w:r>
        <w:rPr>
          <w:i/>
          <w:sz w:val="24"/>
        </w:rPr>
        <w:t>Ju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faleminderit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për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mirëkuptimin,</w:t>
      </w:r>
    </w:p>
    <w:p w:rsidR="00C017FB" w:rsidRDefault="00C017FB">
      <w:pPr>
        <w:pStyle w:val="BodyText"/>
        <w:rPr>
          <w:i/>
          <w:sz w:val="26"/>
        </w:rPr>
      </w:pPr>
    </w:p>
    <w:p w:rsidR="00C017FB" w:rsidRDefault="00C017FB">
      <w:pPr>
        <w:pStyle w:val="BodyText"/>
        <w:spacing w:before="7"/>
        <w:rPr>
          <w:i/>
          <w:sz w:val="26"/>
        </w:rPr>
      </w:pPr>
    </w:p>
    <w:p w:rsidR="00C017FB" w:rsidRDefault="002E2AD6">
      <w:pPr>
        <w:ind w:left="6280"/>
        <w:rPr>
          <w:b/>
        </w:rPr>
      </w:pPr>
      <w:r>
        <w:rPr>
          <w:b/>
        </w:rPr>
        <w:t>DREJTORIA</w:t>
      </w:r>
      <w:r>
        <w:rPr>
          <w:b/>
          <w:spacing w:val="-5"/>
        </w:rPr>
        <w:t xml:space="preserve"> </w:t>
      </w:r>
      <w:r>
        <w:rPr>
          <w:b/>
        </w:rPr>
        <w:t>MINERARE</w:t>
      </w:r>
    </w:p>
    <w:sectPr w:rsidR="00C017FB">
      <w:pgSz w:w="11910" w:h="16840"/>
      <w:pgMar w:top="1020" w:right="280" w:bottom="780" w:left="1180" w:header="0" w:footer="5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437" w:rsidRDefault="00C03437">
      <w:r>
        <w:separator/>
      </w:r>
    </w:p>
  </w:endnote>
  <w:endnote w:type="continuationSeparator" w:id="0">
    <w:p w:rsidR="00C03437" w:rsidRDefault="00C0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7FB" w:rsidRDefault="00C03437">
    <w:pPr>
      <w:pStyle w:val="BodyText"/>
      <w:spacing w:line="14" w:lineRule="auto"/>
      <w:rPr>
        <w:sz w:val="20"/>
      </w:rPr>
    </w:pPr>
    <w:r>
      <w:pict>
        <v:rect id="_x0000_s2051" style="position:absolute;margin-left:83.55pt;margin-top:798.6pt;width:431pt;height:3pt;z-index:-15767040;mso-position-horizontal-relative:page;mso-position-vertical-relative:page" fillcolor="#9bba58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9.8pt;margin-top:804.8pt;width:318.05pt;height:24.55pt;z-index:-15766528;mso-position-horizontal-relative:page;mso-position-vertical-relative:page" filled="f" stroked="f">
          <v:textbox inset="0,0,0,0">
            <w:txbxContent>
              <w:p w:rsidR="00C017FB" w:rsidRDefault="002E2AD6">
                <w:pPr>
                  <w:spacing w:before="10"/>
                  <w:ind w:left="8" w:right="8"/>
                  <w:jc w:val="center"/>
                  <w:rPr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Adresa:</w:t>
                </w:r>
                <w:r>
                  <w:rPr>
                    <w:b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Bulevardi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”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Bajram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Curri”,</w:t>
                </w:r>
                <w:r>
                  <w:rPr>
                    <w:i/>
                    <w:spacing w:val="47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Blloku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“Vasil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Shanto”,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Tiranë,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Shqipëri.</w:t>
                </w:r>
              </w:p>
              <w:p w:rsidR="00C017FB" w:rsidRDefault="002E2AD6">
                <w:pPr>
                  <w:spacing w:before="1"/>
                  <w:ind w:left="8" w:right="3"/>
                  <w:jc w:val="center"/>
                  <w:rPr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Tel</w:t>
                </w:r>
                <w:r>
                  <w:rPr>
                    <w:i/>
                    <w:sz w:val="20"/>
                  </w:rPr>
                  <w:t>.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+355 (0)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4 225 7117;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 xml:space="preserve">Fax </w:t>
                </w:r>
                <w:r>
                  <w:rPr>
                    <w:i/>
                    <w:sz w:val="20"/>
                  </w:rPr>
                  <w:t>+355 (0)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4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225 7382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4.6pt;margin-top:829.65pt;width:11.6pt;height:13.05pt;z-index:-15766016;mso-position-horizontal-relative:page;mso-position-vertical-relative:page" filled="f" stroked="f">
          <v:textbox inset="0,0,0,0">
            <w:txbxContent>
              <w:p w:rsidR="00C017FB" w:rsidRDefault="002E2AD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860E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437" w:rsidRDefault="00C03437">
      <w:r>
        <w:separator/>
      </w:r>
    </w:p>
  </w:footnote>
  <w:footnote w:type="continuationSeparator" w:id="0">
    <w:p w:rsidR="00C03437" w:rsidRDefault="00C03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506A"/>
    <w:multiLevelType w:val="hybridMultilevel"/>
    <w:tmpl w:val="76D2F146"/>
    <w:lvl w:ilvl="0" w:tplc="B27A8A00">
      <w:start w:val="1"/>
      <w:numFmt w:val="decimal"/>
      <w:lvlText w:val="%1."/>
      <w:lvlJc w:val="left"/>
      <w:pPr>
        <w:ind w:left="12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C3A054E6">
      <w:numFmt w:val="bullet"/>
      <w:lvlText w:val="•"/>
      <w:lvlJc w:val="left"/>
      <w:pPr>
        <w:ind w:left="2160" w:hanging="360"/>
      </w:pPr>
      <w:rPr>
        <w:rFonts w:hint="default"/>
        <w:lang w:val="sq-AL" w:eastAsia="en-US" w:bidi="ar-SA"/>
      </w:rPr>
    </w:lvl>
    <w:lvl w:ilvl="2" w:tplc="8758C4AC">
      <w:numFmt w:val="bullet"/>
      <w:lvlText w:val="•"/>
      <w:lvlJc w:val="left"/>
      <w:pPr>
        <w:ind w:left="3081" w:hanging="360"/>
      </w:pPr>
      <w:rPr>
        <w:rFonts w:hint="default"/>
        <w:lang w:val="sq-AL" w:eastAsia="en-US" w:bidi="ar-SA"/>
      </w:rPr>
    </w:lvl>
    <w:lvl w:ilvl="3" w:tplc="74E62DBA">
      <w:numFmt w:val="bullet"/>
      <w:lvlText w:val="•"/>
      <w:lvlJc w:val="left"/>
      <w:pPr>
        <w:ind w:left="4001" w:hanging="360"/>
      </w:pPr>
      <w:rPr>
        <w:rFonts w:hint="default"/>
        <w:lang w:val="sq-AL" w:eastAsia="en-US" w:bidi="ar-SA"/>
      </w:rPr>
    </w:lvl>
    <w:lvl w:ilvl="4" w:tplc="C0425A66">
      <w:numFmt w:val="bullet"/>
      <w:lvlText w:val="•"/>
      <w:lvlJc w:val="left"/>
      <w:pPr>
        <w:ind w:left="4922" w:hanging="360"/>
      </w:pPr>
      <w:rPr>
        <w:rFonts w:hint="default"/>
        <w:lang w:val="sq-AL" w:eastAsia="en-US" w:bidi="ar-SA"/>
      </w:rPr>
    </w:lvl>
    <w:lvl w:ilvl="5" w:tplc="59FA3944">
      <w:numFmt w:val="bullet"/>
      <w:lvlText w:val="•"/>
      <w:lvlJc w:val="left"/>
      <w:pPr>
        <w:ind w:left="5843" w:hanging="360"/>
      </w:pPr>
      <w:rPr>
        <w:rFonts w:hint="default"/>
        <w:lang w:val="sq-AL" w:eastAsia="en-US" w:bidi="ar-SA"/>
      </w:rPr>
    </w:lvl>
    <w:lvl w:ilvl="6" w:tplc="755A78A8">
      <w:numFmt w:val="bullet"/>
      <w:lvlText w:val="•"/>
      <w:lvlJc w:val="left"/>
      <w:pPr>
        <w:ind w:left="6763" w:hanging="360"/>
      </w:pPr>
      <w:rPr>
        <w:rFonts w:hint="default"/>
        <w:lang w:val="sq-AL" w:eastAsia="en-US" w:bidi="ar-SA"/>
      </w:rPr>
    </w:lvl>
    <w:lvl w:ilvl="7" w:tplc="27AA0FAA">
      <w:numFmt w:val="bullet"/>
      <w:lvlText w:val="•"/>
      <w:lvlJc w:val="left"/>
      <w:pPr>
        <w:ind w:left="7684" w:hanging="360"/>
      </w:pPr>
      <w:rPr>
        <w:rFonts w:hint="default"/>
        <w:lang w:val="sq-AL" w:eastAsia="en-US" w:bidi="ar-SA"/>
      </w:rPr>
    </w:lvl>
    <w:lvl w:ilvl="8" w:tplc="661CB74C">
      <w:numFmt w:val="bullet"/>
      <w:lvlText w:val="•"/>
      <w:lvlJc w:val="left"/>
      <w:pPr>
        <w:ind w:left="8605" w:hanging="360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017FB"/>
    <w:rsid w:val="002E2AD6"/>
    <w:rsid w:val="00340680"/>
    <w:rsid w:val="003A7E37"/>
    <w:rsid w:val="009860E8"/>
    <w:rsid w:val="00A87F48"/>
    <w:rsid w:val="00C017FB"/>
    <w:rsid w:val="00C03437"/>
    <w:rsid w:val="00CB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0"/>
      <w:ind w:left="1806" w:right="265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39" w:right="132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B6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ED1"/>
    <w:rPr>
      <w:rFonts w:ascii="Tahoma" w:eastAsia="Times New Roman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0"/>
      <w:ind w:left="1806" w:right="265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39" w:right="132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B6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ED1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Endrit Musaj</dc:creator>
  <cp:lastModifiedBy>Olta Nuellari</cp:lastModifiedBy>
  <cp:revision>3</cp:revision>
  <dcterms:created xsi:type="dcterms:W3CDTF">2024-06-27T07:57:00Z</dcterms:created>
  <dcterms:modified xsi:type="dcterms:W3CDTF">2024-06-27T09:16:00Z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2024-06-27T00:00:00Z</vt:filetime>
  </property>
</Properties>
</file>