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60F9" w14:textId="79359311" w:rsidR="00F76894" w:rsidRDefault="00F76894"/>
    <w:p w14:paraId="38131CF5" w14:textId="77777777" w:rsidR="00F64BCB" w:rsidRPr="00F64BCB" w:rsidRDefault="00F64BCB" w:rsidP="00F64BCB"/>
    <w:p w14:paraId="5A7E4734" w14:textId="77777777" w:rsidR="00F64BCB" w:rsidRDefault="00F64BCB" w:rsidP="00F64BCB"/>
    <w:p w14:paraId="7E77B768" w14:textId="77777777" w:rsidR="00161319" w:rsidRDefault="00161319" w:rsidP="00F64BCB">
      <w:pPr>
        <w:rPr>
          <w:b/>
          <w:bCs/>
          <w:sz w:val="28"/>
          <w:szCs w:val="28"/>
        </w:rPr>
      </w:pPr>
    </w:p>
    <w:p w14:paraId="46EF584C" w14:textId="4B6861AB" w:rsidR="00F64BCB" w:rsidRDefault="00F64BCB" w:rsidP="00F64BCB">
      <w:pPr>
        <w:rPr>
          <w:sz w:val="28"/>
          <w:szCs w:val="28"/>
        </w:rPr>
      </w:pPr>
      <w:r w:rsidRPr="00F64BCB">
        <w:rPr>
          <w:b/>
          <w:bCs/>
          <w:sz w:val="28"/>
          <w:szCs w:val="28"/>
        </w:rPr>
        <w:t>AIMPRESS</w:t>
      </w:r>
      <w:r w:rsidRPr="00F64BCB">
        <w:rPr>
          <w:b/>
          <w:bCs/>
          <w:sz w:val="28"/>
          <w:szCs w:val="28"/>
        </w:rPr>
        <w:t xml:space="preserve"> </w:t>
      </w:r>
      <w:r w:rsidRPr="00F64BCB">
        <w:rPr>
          <w:sz w:val="28"/>
          <w:szCs w:val="28"/>
        </w:rPr>
        <w:t>(</w:t>
      </w:r>
      <w:r w:rsidRPr="00F64BCB">
        <w:rPr>
          <w:sz w:val="28"/>
          <w:szCs w:val="28"/>
        </w:rPr>
        <w:t xml:space="preserve">Adriatic-Ionian Maritime </w:t>
      </w:r>
      <w:proofErr w:type="spellStart"/>
      <w:r w:rsidRPr="00F64BCB">
        <w:rPr>
          <w:sz w:val="28"/>
          <w:szCs w:val="28"/>
        </w:rPr>
        <w:t>oPeRational</w:t>
      </w:r>
      <w:proofErr w:type="spellEnd"/>
      <w:r w:rsidRPr="00F64BCB">
        <w:rPr>
          <w:sz w:val="28"/>
          <w:szCs w:val="28"/>
        </w:rPr>
        <w:t xml:space="preserve"> Efficiency and Sustainable Scheme</w:t>
      </w:r>
      <w:r w:rsidRPr="00F64BCB">
        <w:rPr>
          <w:sz w:val="28"/>
          <w:szCs w:val="28"/>
        </w:rPr>
        <w:t>)</w:t>
      </w:r>
    </w:p>
    <w:p w14:paraId="69174D5D" w14:textId="77777777" w:rsidR="00161319" w:rsidRDefault="00161319" w:rsidP="00F64BCB">
      <w:pPr>
        <w:rPr>
          <w:b/>
          <w:bCs/>
          <w:sz w:val="28"/>
          <w:szCs w:val="28"/>
        </w:rPr>
      </w:pPr>
    </w:p>
    <w:p w14:paraId="4D1E0701" w14:textId="51C40C43" w:rsidR="00F64BCB" w:rsidRPr="00F64BCB" w:rsidRDefault="00F64BCB" w:rsidP="00F64BCB">
      <w:pPr>
        <w:rPr>
          <w:b/>
          <w:bCs/>
          <w:sz w:val="28"/>
          <w:szCs w:val="28"/>
        </w:rPr>
      </w:pPr>
      <w:r w:rsidRPr="00F64BCB">
        <w:rPr>
          <w:b/>
          <w:bCs/>
          <w:sz w:val="28"/>
          <w:szCs w:val="28"/>
        </w:rPr>
        <w:t xml:space="preserve">This project is supported by the Interreg IPA ADRION </w:t>
      </w:r>
      <w:proofErr w:type="spellStart"/>
      <w:r w:rsidRPr="00F64BCB">
        <w:rPr>
          <w:b/>
          <w:bCs/>
          <w:sz w:val="28"/>
          <w:szCs w:val="28"/>
        </w:rPr>
        <w:t>programme</w:t>
      </w:r>
      <w:proofErr w:type="spellEnd"/>
      <w:r w:rsidRPr="00F64BCB">
        <w:rPr>
          <w:b/>
          <w:bCs/>
          <w:sz w:val="28"/>
          <w:szCs w:val="28"/>
        </w:rPr>
        <w:t xml:space="preserve"> under the Interreg Funds (European Regional Development Fund and IPA III) </w:t>
      </w:r>
    </w:p>
    <w:p w14:paraId="38F46D32" w14:textId="7FC3CC65" w:rsidR="00F64BCB" w:rsidRPr="00F64BCB" w:rsidRDefault="00161319" w:rsidP="00F64BCB">
      <w:pPr>
        <w:jc w:val="both"/>
        <w:rPr>
          <w:sz w:val="24"/>
          <w:szCs w:val="24"/>
        </w:rPr>
      </w:pPr>
      <w:r w:rsidRPr="00161319">
        <w:rPr>
          <w:sz w:val="24"/>
          <w:szCs w:val="24"/>
        </w:rPr>
        <w:t xml:space="preserve">AIMPRESS is designed to tackle persistent territorial challenges within the Adriatic-Ionian region through the deployment of cutting-edge, circular, and digital strategies, primarily focusing on sustainable development, operational efficiency, and carbon neutrality. By fostering collaboration among ports and pooling resources and expertise, the project will stimulate regional development, create jobs, and contribute to the sustainable development of the entire Adriatic-Ionian region. AIMPRESS focuses on promoting sustainable development, operational efficiency, and </w:t>
      </w:r>
      <w:r w:rsidRPr="00161319">
        <w:rPr>
          <w:sz w:val="24"/>
          <w:szCs w:val="24"/>
        </w:rPr>
        <w:t>decarbonization</w:t>
      </w:r>
      <w:r w:rsidRPr="00161319">
        <w:rPr>
          <w:sz w:val="24"/>
          <w:szCs w:val="24"/>
        </w:rPr>
        <w:t xml:space="preserve"> (carbon neutrality). The region's strategic location in terms of transport and mobility for both people and goods </w:t>
      </w:r>
      <w:proofErr w:type="gramStart"/>
      <w:r w:rsidRPr="00161319">
        <w:rPr>
          <w:sz w:val="24"/>
          <w:szCs w:val="24"/>
        </w:rPr>
        <w:t>is</w:t>
      </w:r>
      <w:proofErr w:type="gramEnd"/>
      <w:r w:rsidRPr="00161319">
        <w:rPr>
          <w:sz w:val="24"/>
          <w:szCs w:val="24"/>
        </w:rPr>
        <w:t xml:space="preserve"> hampered by several territorial discontinuities, a direct consequence of its geomorphological structure and history. Maritime sector in Adriatic-Ionian region has historically relied on conventional energy sources (such as fossil fuels) and old-fashioned operational methodologies, leading to substantial negative environmental impacts. The AIMPRESS identifies the urgent need for a transition towards sustainable practices, a challenge that necessitates collaborative, interregional efforts and joint action plans and solutions.</w:t>
      </w:r>
      <w:r>
        <w:rPr>
          <w:sz w:val="24"/>
          <w:szCs w:val="24"/>
        </w:rPr>
        <w:t xml:space="preserve"> </w:t>
      </w:r>
      <w:r w:rsidR="00F64BCB" w:rsidRPr="00F64BCB">
        <w:rPr>
          <w:sz w:val="24"/>
          <w:szCs w:val="24"/>
        </w:rPr>
        <w:t>The project focuses on developing and implementing innovative technologies and sustainable practices to reduce greenhouse gas emissions and increase energy efficiency</w:t>
      </w:r>
      <w:r w:rsidR="00F64BCB" w:rsidRPr="00F64BCB">
        <w:rPr>
          <w:sz w:val="24"/>
          <w:szCs w:val="24"/>
        </w:rPr>
        <w:t>.</w:t>
      </w:r>
    </w:p>
    <w:p w14:paraId="178A8F5A" w14:textId="24165C00" w:rsidR="00F64BCB" w:rsidRDefault="00F64BCB" w:rsidP="00F64BCB">
      <w:pPr>
        <w:jc w:val="both"/>
        <w:rPr>
          <w:b/>
          <w:bCs/>
          <w:sz w:val="28"/>
          <w:szCs w:val="28"/>
        </w:rPr>
      </w:pPr>
      <w:r w:rsidRPr="00F64BCB">
        <w:rPr>
          <w:b/>
          <w:bCs/>
          <w:sz w:val="28"/>
          <w:szCs w:val="28"/>
        </w:rPr>
        <w:t>PROJECT PARTNERS</w:t>
      </w:r>
    </w:p>
    <w:tbl>
      <w:tblPr>
        <w:tblStyle w:val="TableGrid"/>
        <w:tblW w:w="0" w:type="auto"/>
        <w:tblLook w:val="04A0" w:firstRow="1" w:lastRow="0" w:firstColumn="1" w:lastColumn="0" w:noHBand="0" w:noVBand="1"/>
      </w:tblPr>
      <w:tblGrid>
        <w:gridCol w:w="4675"/>
        <w:gridCol w:w="4675"/>
      </w:tblGrid>
      <w:tr w:rsidR="00F64BCB" w14:paraId="21F1268E" w14:textId="77777777" w:rsidTr="00F64BCB">
        <w:tc>
          <w:tcPr>
            <w:tcW w:w="4675" w:type="dxa"/>
          </w:tcPr>
          <w:p w14:paraId="172E99C4" w14:textId="77777777" w:rsidR="00F64BCB" w:rsidRPr="00F64BCB" w:rsidRDefault="00F64BCB" w:rsidP="00F64BCB">
            <w:pPr>
              <w:jc w:val="both"/>
              <w:rPr>
                <w:sz w:val="24"/>
                <w:szCs w:val="24"/>
              </w:rPr>
            </w:pPr>
            <w:r w:rsidRPr="00F64BCB">
              <w:rPr>
                <w:sz w:val="24"/>
                <w:szCs w:val="24"/>
              </w:rPr>
              <w:t xml:space="preserve">1. Technical University of Crete (TUC) </w:t>
            </w:r>
          </w:p>
          <w:p w14:paraId="7CE54A81" w14:textId="77777777" w:rsidR="00F64BCB" w:rsidRPr="00F64BCB" w:rsidRDefault="00F64BCB" w:rsidP="00F64BCB">
            <w:pPr>
              <w:jc w:val="both"/>
              <w:rPr>
                <w:sz w:val="24"/>
                <w:szCs w:val="24"/>
              </w:rPr>
            </w:pPr>
            <w:r w:rsidRPr="00F64BCB">
              <w:rPr>
                <w:sz w:val="24"/>
                <w:szCs w:val="24"/>
              </w:rPr>
              <w:t xml:space="preserve">2. CLEANENERGYLTD(CE) </w:t>
            </w:r>
          </w:p>
          <w:p w14:paraId="4FC4DC8B" w14:textId="77777777" w:rsidR="00F64BCB" w:rsidRPr="00F64BCB" w:rsidRDefault="00F64BCB" w:rsidP="00F64BCB">
            <w:pPr>
              <w:jc w:val="both"/>
              <w:rPr>
                <w:sz w:val="24"/>
                <w:szCs w:val="24"/>
              </w:rPr>
            </w:pPr>
            <w:r w:rsidRPr="00F64BCB">
              <w:rPr>
                <w:sz w:val="24"/>
                <w:szCs w:val="24"/>
              </w:rPr>
              <w:t xml:space="preserve">3. Polytechnic University of Marche (UNIVPM) </w:t>
            </w:r>
          </w:p>
          <w:p w14:paraId="132C3B26" w14:textId="77777777" w:rsidR="00F64BCB" w:rsidRPr="00F64BCB" w:rsidRDefault="00F64BCB" w:rsidP="00F64BCB">
            <w:pPr>
              <w:jc w:val="both"/>
              <w:rPr>
                <w:sz w:val="24"/>
                <w:szCs w:val="24"/>
              </w:rPr>
            </w:pPr>
            <w:r w:rsidRPr="00F64BCB">
              <w:rPr>
                <w:sz w:val="24"/>
                <w:szCs w:val="24"/>
              </w:rPr>
              <w:t xml:space="preserve">4. Faculty of Technology and Metallurgy, University of Belgrade (FTMUB) </w:t>
            </w:r>
          </w:p>
          <w:p w14:paraId="6746F1BB" w14:textId="77777777" w:rsidR="00F64BCB" w:rsidRPr="00F64BCB" w:rsidRDefault="00F64BCB" w:rsidP="00F64BCB">
            <w:pPr>
              <w:jc w:val="both"/>
              <w:rPr>
                <w:sz w:val="24"/>
                <w:szCs w:val="24"/>
              </w:rPr>
            </w:pPr>
            <w:r w:rsidRPr="00F64BCB">
              <w:rPr>
                <w:sz w:val="24"/>
                <w:szCs w:val="24"/>
              </w:rPr>
              <w:t xml:space="preserve">5. Natural Agency of Natural Resources (AKBN) </w:t>
            </w:r>
          </w:p>
          <w:p w14:paraId="0E088E9D" w14:textId="22E5DC73" w:rsidR="00F64BCB" w:rsidRPr="00F64BCB" w:rsidRDefault="00F64BCB" w:rsidP="00F64BCB">
            <w:pPr>
              <w:jc w:val="both"/>
              <w:rPr>
                <w:sz w:val="24"/>
                <w:szCs w:val="24"/>
              </w:rPr>
            </w:pPr>
            <w:r w:rsidRPr="00F64BCB">
              <w:rPr>
                <w:sz w:val="24"/>
                <w:szCs w:val="24"/>
              </w:rPr>
              <w:t>6. The International Centre for Sustainable Development of Energy, Water and Environment Systems (SDEWES Centre)</w:t>
            </w:r>
          </w:p>
        </w:tc>
        <w:tc>
          <w:tcPr>
            <w:tcW w:w="4675" w:type="dxa"/>
          </w:tcPr>
          <w:p w14:paraId="6EB0AC6D" w14:textId="77777777" w:rsidR="00F64BCB" w:rsidRPr="00F64BCB" w:rsidRDefault="00F64BCB" w:rsidP="00F64BCB">
            <w:pPr>
              <w:jc w:val="both"/>
              <w:rPr>
                <w:sz w:val="24"/>
                <w:szCs w:val="24"/>
              </w:rPr>
            </w:pPr>
            <w:r w:rsidRPr="00F64BCB">
              <w:rPr>
                <w:sz w:val="24"/>
                <w:szCs w:val="24"/>
              </w:rPr>
              <w:t xml:space="preserve">7. </w:t>
            </w:r>
            <w:proofErr w:type="spellStart"/>
            <w:r w:rsidRPr="00F64BCB">
              <w:rPr>
                <w:sz w:val="24"/>
                <w:szCs w:val="24"/>
              </w:rPr>
              <w:t>ENOVAEngineering</w:t>
            </w:r>
            <w:proofErr w:type="spellEnd"/>
            <w:r w:rsidRPr="00F64BCB">
              <w:rPr>
                <w:sz w:val="24"/>
                <w:szCs w:val="24"/>
              </w:rPr>
              <w:t xml:space="preserve"> and Consulting </w:t>
            </w:r>
            <w:proofErr w:type="spellStart"/>
            <w:r w:rsidRPr="00F64BCB">
              <w:rPr>
                <w:sz w:val="24"/>
                <w:szCs w:val="24"/>
              </w:rPr>
              <w:t>Companyd.o.o</w:t>
            </w:r>
            <w:proofErr w:type="spellEnd"/>
            <w:r w:rsidRPr="00F64BCB">
              <w:rPr>
                <w:sz w:val="24"/>
                <w:szCs w:val="24"/>
              </w:rPr>
              <w:t xml:space="preserve">. Sarajevo (ENOVA Sarajevo) </w:t>
            </w:r>
          </w:p>
          <w:p w14:paraId="768CCC30" w14:textId="77777777" w:rsidR="00F64BCB" w:rsidRPr="00F64BCB" w:rsidRDefault="00F64BCB" w:rsidP="00F64BCB">
            <w:pPr>
              <w:jc w:val="both"/>
              <w:rPr>
                <w:sz w:val="24"/>
                <w:szCs w:val="24"/>
              </w:rPr>
            </w:pPr>
            <w:r w:rsidRPr="00F64BCB">
              <w:rPr>
                <w:sz w:val="24"/>
                <w:szCs w:val="24"/>
              </w:rPr>
              <w:t xml:space="preserve">8. Central Adriatic Ports Authority (ADSPMAC) </w:t>
            </w:r>
          </w:p>
          <w:p w14:paraId="27D02D9B" w14:textId="77777777" w:rsidR="00F64BCB" w:rsidRPr="00F64BCB" w:rsidRDefault="00F64BCB" w:rsidP="00F64BCB">
            <w:pPr>
              <w:jc w:val="both"/>
              <w:rPr>
                <w:sz w:val="24"/>
                <w:szCs w:val="24"/>
              </w:rPr>
            </w:pPr>
            <w:r w:rsidRPr="00F64BCB">
              <w:rPr>
                <w:sz w:val="24"/>
                <w:szCs w:val="24"/>
              </w:rPr>
              <w:t xml:space="preserve">9. Port of Split Authority (PSA) 10. AD Marina Bar (AD MB) </w:t>
            </w:r>
          </w:p>
          <w:p w14:paraId="7953E124" w14:textId="1282324B" w:rsidR="00F64BCB" w:rsidRPr="00F64BCB" w:rsidRDefault="00F64BCB" w:rsidP="00F64BCB">
            <w:pPr>
              <w:jc w:val="both"/>
              <w:rPr>
                <w:sz w:val="24"/>
                <w:szCs w:val="24"/>
              </w:rPr>
            </w:pPr>
            <w:r w:rsidRPr="00F64BCB">
              <w:rPr>
                <w:sz w:val="24"/>
                <w:szCs w:val="24"/>
              </w:rPr>
              <w:t>11. University of Montenegro– Faculty of Metallurgy and Technology (MTF-UoM)</w:t>
            </w:r>
          </w:p>
        </w:tc>
      </w:tr>
    </w:tbl>
    <w:p w14:paraId="3E416237" w14:textId="77777777" w:rsidR="00161319" w:rsidRDefault="00161319" w:rsidP="00F64BCB">
      <w:pPr>
        <w:jc w:val="both"/>
        <w:rPr>
          <w:b/>
          <w:bCs/>
          <w:sz w:val="28"/>
          <w:szCs w:val="28"/>
        </w:rPr>
      </w:pPr>
    </w:p>
    <w:p w14:paraId="1C32B3C0" w14:textId="77777777" w:rsidR="00161319" w:rsidRDefault="00161319" w:rsidP="00F64BCB">
      <w:pPr>
        <w:jc w:val="both"/>
        <w:rPr>
          <w:b/>
          <w:bCs/>
          <w:sz w:val="28"/>
          <w:szCs w:val="28"/>
        </w:rPr>
      </w:pPr>
    </w:p>
    <w:p w14:paraId="42764732" w14:textId="77777777" w:rsidR="00161319" w:rsidRDefault="00161319" w:rsidP="00F64BCB">
      <w:pPr>
        <w:jc w:val="both"/>
        <w:rPr>
          <w:b/>
          <w:bCs/>
          <w:sz w:val="28"/>
          <w:szCs w:val="28"/>
        </w:rPr>
      </w:pPr>
    </w:p>
    <w:p w14:paraId="1CF51716" w14:textId="6026902F" w:rsidR="0085299A" w:rsidRDefault="0085299A" w:rsidP="00F64BCB">
      <w:pPr>
        <w:jc w:val="both"/>
        <w:rPr>
          <w:b/>
          <w:bCs/>
          <w:sz w:val="28"/>
          <w:szCs w:val="28"/>
        </w:rPr>
      </w:pPr>
      <w:r>
        <w:rPr>
          <w:b/>
          <w:bCs/>
          <w:sz w:val="28"/>
          <w:szCs w:val="28"/>
        </w:rPr>
        <w:t xml:space="preserve">WP1 </w:t>
      </w:r>
      <w:r w:rsidRPr="0085299A">
        <w:rPr>
          <w:b/>
          <w:bCs/>
          <w:sz w:val="28"/>
          <w:szCs w:val="28"/>
        </w:rPr>
        <w:t>AIMPRESS technological &amp; digital framework and configuration</w:t>
      </w:r>
    </w:p>
    <w:p w14:paraId="00665063" w14:textId="50A544FD" w:rsidR="0085299A" w:rsidRDefault="0085299A" w:rsidP="00F64BCB">
      <w:pPr>
        <w:jc w:val="both"/>
        <w:rPr>
          <w:b/>
          <w:bCs/>
          <w:sz w:val="28"/>
          <w:szCs w:val="28"/>
        </w:rPr>
      </w:pPr>
      <w:r>
        <w:rPr>
          <w:b/>
          <w:bCs/>
          <w:sz w:val="28"/>
          <w:szCs w:val="28"/>
        </w:rPr>
        <w:t xml:space="preserve">WP2 </w:t>
      </w:r>
      <w:r w:rsidRPr="0085299A">
        <w:rPr>
          <w:b/>
          <w:bCs/>
          <w:sz w:val="28"/>
          <w:szCs w:val="28"/>
        </w:rPr>
        <w:t>Pilot Digital Demonstration and Impact Assessment</w:t>
      </w:r>
    </w:p>
    <w:p w14:paraId="79FD494A" w14:textId="17E9A5C0" w:rsidR="0085299A" w:rsidRDefault="0085299A" w:rsidP="00F64BCB">
      <w:pPr>
        <w:jc w:val="both"/>
        <w:rPr>
          <w:b/>
          <w:bCs/>
          <w:sz w:val="28"/>
          <w:szCs w:val="28"/>
        </w:rPr>
      </w:pPr>
      <w:r>
        <w:rPr>
          <w:b/>
          <w:bCs/>
          <w:sz w:val="28"/>
          <w:szCs w:val="28"/>
        </w:rPr>
        <w:t xml:space="preserve">WP3 </w:t>
      </w:r>
      <w:r w:rsidRPr="0085299A">
        <w:rPr>
          <w:b/>
          <w:bCs/>
          <w:sz w:val="28"/>
          <w:szCs w:val="28"/>
        </w:rPr>
        <w:t>Capacity Building and Technical Upskilling</w:t>
      </w:r>
    </w:p>
    <w:p w14:paraId="2450E5E2" w14:textId="77777777" w:rsidR="00161319" w:rsidRDefault="00161319" w:rsidP="00F64BCB">
      <w:pPr>
        <w:jc w:val="both"/>
        <w:rPr>
          <w:b/>
          <w:bCs/>
          <w:sz w:val="28"/>
          <w:szCs w:val="28"/>
        </w:rPr>
      </w:pPr>
    </w:p>
    <w:p w14:paraId="7193071F" w14:textId="77777777" w:rsidR="00161319" w:rsidRPr="00161319" w:rsidRDefault="00161319" w:rsidP="00161319">
      <w:pPr>
        <w:jc w:val="both"/>
        <w:rPr>
          <w:sz w:val="28"/>
          <w:szCs w:val="28"/>
        </w:rPr>
      </w:pPr>
      <w:r w:rsidRPr="00F64BCB">
        <w:rPr>
          <w:b/>
          <w:bCs/>
          <w:sz w:val="28"/>
          <w:szCs w:val="28"/>
        </w:rPr>
        <w:t>Project duration</w:t>
      </w:r>
      <w:r>
        <w:rPr>
          <w:b/>
          <w:bCs/>
          <w:sz w:val="28"/>
          <w:szCs w:val="28"/>
        </w:rPr>
        <w:t xml:space="preserve">: </w:t>
      </w:r>
      <w:r w:rsidRPr="00161319">
        <w:rPr>
          <w:sz w:val="28"/>
          <w:szCs w:val="28"/>
        </w:rPr>
        <w:t>36 Months</w:t>
      </w:r>
    </w:p>
    <w:p w14:paraId="00E879BD" w14:textId="77777777" w:rsidR="00161319" w:rsidRDefault="00161319" w:rsidP="00F64BCB">
      <w:pPr>
        <w:jc w:val="both"/>
        <w:rPr>
          <w:b/>
          <w:bCs/>
          <w:sz w:val="28"/>
          <w:szCs w:val="28"/>
        </w:rPr>
      </w:pPr>
    </w:p>
    <w:p w14:paraId="3520B9A0" w14:textId="45031A76" w:rsidR="00161319" w:rsidRPr="00F64BCB" w:rsidRDefault="00161319" w:rsidP="00F64BCB">
      <w:pPr>
        <w:jc w:val="both"/>
        <w:rPr>
          <w:b/>
          <w:bCs/>
          <w:sz w:val="28"/>
          <w:szCs w:val="28"/>
        </w:rPr>
      </w:pPr>
      <w:hyperlink r:id="rId6" w:history="1">
        <w:r w:rsidRPr="00161319">
          <w:rPr>
            <w:rStyle w:val="Hyperlink"/>
            <w:b/>
            <w:bCs/>
            <w:sz w:val="28"/>
            <w:szCs w:val="28"/>
          </w:rPr>
          <w:t xml:space="preserve">Interreg IPA ADRION </w:t>
        </w:r>
        <w:proofErr w:type="spellStart"/>
        <w:r w:rsidRPr="00161319">
          <w:rPr>
            <w:rStyle w:val="Hyperlink"/>
            <w:b/>
            <w:bCs/>
            <w:sz w:val="28"/>
            <w:szCs w:val="28"/>
          </w:rPr>
          <w:t>Programme</w:t>
        </w:r>
        <w:proofErr w:type="spellEnd"/>
      </w:hyperlink>
    </w:p>
    <w:sectPr w:rsidR="00161319" w:rsidRPr="00F64BCB" w:rsidSect="00161319">
      <w:headerReference w:type="default" r:id="rId7"/>
      <w:pgSz w:w="12240" w:h="15840"/>
      <w:pgMar w:top="1547"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77854" w14:textId="77777777" w:rsidR="002A79B4" w:rsidRDefault="002A79B4" w:rsidP="00F64BCB">
      <w:pPr>
        <w:spacing w:after="0" w:line="240" w:lineRule="auto"/>
      </w:pPr>
      <w:r>
        <w:separator/>
      </w:r>
    </w:p>
  </w:endnote>
  <w:endnote w:type="continuationSeparator" w:id="0">
    <w:p w14:paraId="239943CA" w14:textId="77777777" w:rsidR="002A79B4" w:rsidRDefault="002A79B4" w:rsidP="00F64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78BD7" w14:textId="77777777" w:rsidR="002A79B4" w:rsidRDefault="002A79B4" w:rsidP="00F64BCB">
      <w:pPr>
        <w:spacing w:after="0" w:line="240" w:lineRule="auto"/>
      </w:pPr>
      <w:r>
        <w:separator/>
      </w:r>
    </w:p>
  </w:footnote>
  <w:footnote w:type="continuationSeparator" w:id="0">
    <w:p w14:paraId="0E4DFEF0" w14:textId="77777777" w:rsidR="002A79B4" w:rsidRDefault="002A79B4" w:rsidP="00F64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F625" w14:textId="4F3F563B" w:rsidR="00F64BCB" w:rsidRDefault="00F64BCB">
    <w:pPr>
      <w:pStyle w:val="Header"/>
    </w:pPr>
    <w:r>
      <w:rPr>
        <w:noProof/>
      </w:rPr>
      <w:drawing>
        <wp:anchor distT="0" distB="0" distL="0" distR="0" simplePos="0" relativeHeight="251659264" behindDoc="1" locked="0" layoutInCell="1" allowOverlap="1" wp14:anchorId="4BDBF557" wp14:editId="505FF7A0">
          <wp:simplePos x="0" y="0"/>
          <wp:positionH relativeFrom="margin">
            <wp:posOffset>0</wp:posOffset>
          </wp:positionH>
          <wp:positionV relativeFrom="margin">
            <wp:posOffset>-457200</wp:posOffset>
          </wp:positionV>
          <wp:extent cx="5281837" cy="809625"/>
          <wp:effectExtent l="0" t="0" r="0" b="0"/>
          <wp:wrapNone/>
          <wp:docPr id="677595172" name="Image 2" descr="Εικόνα που περιέχει κείμενο, στιγμιότυπο οθόνης, γραμματοσειρά,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Εικόνα που περιέχει κείμενο, στιγμιότυπο οθόνης, γραμματοσειρά, γραφικά&#10;&#10;Περιγραφή που δημιουργήθηκε αυτόματα"/>
                  <pic:cNvPicPr/>
                </pic:nvPicPr>
                <pic:blipFill>
                  <a:blip r:embed="rId1" cstate="print"/>
                  <a:stretch>
                    <a:fillRect/>
                  </a:stretch>
                </pic:blipFill>
                <pic:spPr>
                  <a:xfrm>
                    <a:off x="0" y="0"/>
                    <a:ext cx="5281837" cy="8096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CB"/>
    <w:rsid w:val="00161319"/>
    <w:rsid w:val="002A79B4"/>
    <w:rsid w:val="002E52A5"/>
    <w:rsid w:val="00730D3B"/>
    <w:rsid w:val="007328EB"/>
    <w:rsid w:val="0074159B"/>
    <w:rsid w:val="007C6850"/>
    <w:rsid w:val="0085299A"/>
    <w:rsid w:val="008D51FA"/>
    <w:rsid w:val="00EA32A1"/>
    <w:rsid w:val="00F06A0C"/>
    <w:rsid w:val="00F33F02"/>
    <w:rsid w:val="00F64BCB"/>
    <w:rsid w:val="00F76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9CF28"/>
  <w15:chartTrackingRefBased/>
  <w15:docId w15:val="{BB4984C5-ED07-4216-B4F8-3238BFD2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B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4B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4B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4B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4B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4B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B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B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B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B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4B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4B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4B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4B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4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BCB"/>
    <w:rPr>
      <w:rFonts w:eastAsiaTheme="majorEastAsia" w:cstheme="majorBidi"/>
      <w:color w:val="272727" w:themeColor="text1" w:themeTint="D8"/>
    </w:rPr>
  </w:style>
  <w:style w:type="paragraph" w:styleId="Title">
    <w:name w:val="Title"/>
    <w:basedOn w:val="Normal"/>
    <w:next w:val="Normal"/>
    <w:link w:val="TitleChar"/>
    <w:uiPriority w:val="10"/>
    <w:qFormat/>
    <w:rsid w:val="00F64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B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BCB"/>
    <w:pPr>
      <w:spacing w:before="160"/>
      <w:jc w:val="center"/>
    </w:pPr>
    <w:rPr>
      <w:i/>
      <w:iCs/>
      <w:color w:val="404040" w:themeColor="text1" w:themeTint="BF"/>
    </w:rPr>
  </w:style>
  <w:style w:type="character" w:customStyle="1" w:styleId="QuoteChar">
    <w:name w:val="Quote Char"/>
    <w:basedOn w:val="DefaultParagraphFont"/>
    <w:link w:val="Quote"/>
    <w:uiPriority w:val="29"/>
    <w:rsid w:val="00F64BCB"/>
    <w:rPr>
      <w:i/>
      <w:iCs/>
      <w:color w:val="404040" w:themeColor="text1" w:themeTint="BF"/>
    </w:rPr>
  </w:style>
  <w:style w:type="paragraph" w:styleId="ListParagraph">
    <w:name w:val="List Paragraph"/>
    <w:basedOn w:val="Normal"/>
    <w:uiPriority w:val="34"/>
    <w:qFormat/>
    <w:rsid w:val="00F64BCB"/>
    <w:pPr>
      <w:ind w:left="720"/>
      <w:contextualSpacing/>
    </w:pPr>
  </w:style>
  <w:style w:type="character" w:styleId="IntenseEmphasis">
    <w:name w:val="Intense Emphasis"/>
    <w:basedOn w:val="DefaultParagraphFont"/>
    <w:uiPriority w:val="21"/>
    <w:qFormat/>
    <w:rsid w:val="00F64BCB"/>
    <w:rPr>
      <w:i/>
      <w:iCs/>
      <w:color w:val="2F5496" w:themeColor="accent1" w:themeShade="BF"/>
    </w:rPr>
  </w:style>
  <w:style w:type="paragraph" w:styleId="IntenseQuote">
    <w:name w:val="Intense Quote"/>
    <w:basedOn w:val="Normal"/>
    <w:next w:val="Normal"/>
    <w:link w:val="IntenseQuoteChar"/>
    <w:uiPriority w:val="30"/>
    <w:qFormat/>
    <w:rsid w:val="00F64B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4BCB"/>
    <w:rPr>
      <w:i/>
      <w:iCs/>
      <w:color w:val="2F5496" w:themeColor="accent1" w:themeShade="BF"/>
    </w:rPr>
  </w:style>
  <w:style w:type="character" w:styleId="IntenseReference">
    <w:name w:val="Intense Reference"/>
    <w:basedOn w:val="DefaultParagraphFont"/>
    <w:uiPriority w:val="32"/>
    <w:qFormat/>
    <w:rsid w:val="00F64BCB"/>
    <w:rPr>
      <w:b/>
      <w:bCs/>
      <w:smallCaps/>
      <w:color w:val="2F5496" w:themeColor="accent1" w:themeShade="BF"/>
      <w:spacing w:val="5"/>
    </w:rPr>
  </w:style>
  <w:style w:type="paragraph" w:styleId="Header">
    <w:name w:val="header"/>
    <w:basedOn w:val="Normal"/>
    <w:link w:val="HeaderChar"/>
    <w:uiPriority w:val="99"/>
    <w:unhideWhenUsed/>
    <w:rsid w:val="00F64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BCB"/>
  </w:style>
  <w:style w:type="paragraph" w:styleId="Footer">
    <w:name w:val="footer"/>
    <w:basedOn w:val="Normal"/>
    <w:link w:val="FooterChar"/>
    <w:uiPriority w:val="99"/>
    <w:unhideWhenUsed/>
    <w:rsid w:val="00F64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BCB"/>
  </w:style>
  <w:style w:type="table" w:styleId="TableGrid">
    <w:name w:val="Table Grid"/>
    <w:basedOn w:val="TableNormal"/>
    <w:uiPriority w:val="39"/>
    <w:rsid w:val="00F64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1319"/>
    <w:rPr>
      <w:color w:val="0563C1" w:themeColor="hyperlink"/>
      <w:u w:val="single"/>
    </w:rPr>
  </w:style>
  <w:style w:type="character" w:styleId="UnresolvedMention">
    <w:name w:val="Unresolved Mention"/>
    <w:basedOn w:val="DefaultParagraphFont"/>
    <w:uiPriority w:val="99"/>
    <w:semiHidden/>
    <w:unhideWhenUsed/>
    <w:rsid w:val="00161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terreg-ipa-adrion.e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Artan Leskoviku</dc:creator>
  <cp:keywords/>
  <dc:description/>
  <cp:lastModifiedBy>Artan Leskoviku</cp:lastModifiedBy>
  <cp:revision>1</cp:revision>
  <dcterms:created xsi:type="dcterms:W3CDTF">2025-03-01T22:05:00Z</dcterms:created>
  <dcterms:modified xsi:type="dcterms:W3CDTF">2025-03-01T22:32:00Z</dcterms:modified>
</cp:coreProperties>
</file>