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584C" w14:textId="16BD5636" w:rsidR="00F64BCB" w:rsidRDefault="00DD4849" w:rsidP="00F64BCB">
      <w:pPr>
        <w:rPr>
          <w:sz w:val="28"/>
          <w:szCs w:val="28"/>
        </w:rPr>
      </w:pPr>
      <w:proofErr w:type="gramStart"/>
      <w:r w:rsidRPr="00DD4849">
        <w:rPr>
          <w:b/>
          <w:bCs/>
          <w:sz w:val="28"/>
          <w:szCs w:val="28"/>
        </w:rPr>
        <w:t>ADRIONWIND</w:t>
      </w:r>
      <w:r>
        <w:rPr>
          <w:b/>
          <w:bCs/>
          <w:sz w:val="28"/>
          <w:szCs w:val="28"/>
        </w:rPr>
        <w:t xml:space="preserve"> </w:t>
      </w:r>
      <w:r w:rsidR="00F64BCB" w:rsidRPr="00F64BCB">
        <w:rPr>
          <w:b/>
          <w:bCs/>
          <w:sz w:val="28"/>
          <w:szCs w:val="28"/>
        </w:rPr>
        <w:t xml:space="preserve"> </w:t>
      </w:r>
      <w:r w:rsidR="00F64BCB" w:rsidRPr="00F64BCB">
        <w:rPr>
          <w:sz w:val="28"/>
          <w:szCs w:val="28"/>
        </w:rPr>
        <w:t>(</w:t>
      </w:r>
      <w:proofErr w:type="gramEnd"/>
      <w:r w:rsidRPr="00DD4849">
        <w:rPr>
          <w:sz w:val="28"/>
          <w:szCs w:val="28"/>
        </w:rPr>
        <w:t>Adriatic-Ionian Offshore Wind Network of Excellence</w:t>
      </w:r>
      <w:r w:rsidR="00F64BCB" w:rsidRPr="00F64BCB">
        <w:rPr>
          <w:sz w:val="28"/>
          <w:szCs w:val="28"/>
        </w:rPr>
        <w:t>)</w:t>
      </w:r>
    </w:p>
    <w:p w14:paraId="69174D5D" w14:textId="77777777" w:rsidR="00161319" w:rsidRDefault="00161319" w:rsidP="00F64BCB">
      <w:pPr>
        <w:rPr>
          <w:b/>
          <w:bCs/>
          <w:sz w:val="28"/>
          <w:szCs w:val="28"/>
        </w:rPr>
      </w:pPr>
    </w:p>
    <w:p w14:paraId="4D1E0701" w14:textId="51C40C43" w:rsidR="00F64BCB" w:rsidRPr="00F64BCB" w:rsidRDefault="00F64BCB" w:rsidP="00F64BCB">
      <w:pPr>
        <w:rPr>
          <w:b/>
          <w:bCs/>
          <w:sz w:val="28"/>
          <w:szCs w:val="28"/>
        </w:rPr>
      </w:pPr>
      <w:r w:rsidRPr="00F64BCB">
        <w:rPr>
          <w:b/>
          <w:bCs/>
          <w:sz w:val="28"/>
          <w:szCs w:val="28"/>
        </w:rPr>
        <w:t xml:space="preserve">This project is supported by the Interreg IPA ADRION </w:t>
      </w:r>
      <w:proofErr w:type="spellStart"/>
      <w:r w:rsidRPr="00F64BCB">
        <w:rPr>
          <w:b/>
          <w:bCs/>
          <w:sz w:val="28"/>
          <w:szCs w:val="28"/>
        </w:rPr>
        <w:t>programme</w:t>
      </w:r>
      <w:proofErr w:type="spellEnd"/>
      <w:r w:rsidRPr="00F64BCB">
        <w:rPr>
          <w:b/>
          <w:bCs/>
          <w:sz w:val="28"/>
          <w:szCs w:val="28"/>
        </w:rPr>
        <w:t xml:space="preserve"> under the Interreg Funds (European Regional Development Fund and IPA III) </w:t>
      </w:r>
    </w:p>
    <w:p w14:paraId="1102C890" w14:textId="77777777" w:rsidR="00A62691" w:rsidRDefault="00A62691" w:rsidP="00F64BCB">
      <w:pPr>
        <w:jc w:val="both"/>
        <w:rPr>
          <w:sz w:val="24"/>
          <w:szCs w:val="24"/>
        </w:rPr>
      </w:pPr>
      <w:r w:rsidRPr="00A62691">
        <w:rPr>
          <w:sz w:val="24"/>
          <w:szCs w:val="24"/>
        </w:rPr>
        <w:t>The Adriatic-Ionian Offshore Wind Network of Excellence project aims to foster a collaborative and sustainable ecosystem for offshore wind energy development in the Adriatic-Ionian region. Utilizing the region's extensive coastline and abundant wind resources, the project seeks to enhance capacity building, technology transfer, and adoption of offshore wind technology among stakeholders in the emerging industry. The heart of ADRIONWIND lies in fostering a robust collaboration network. Project aims to create a digital platform that bridges the gap between academia, industry, policymakers, and research institutions. By developing quadruple helix network and enhancing knowledge transfer specifically tailored to SMEs, we will empower these enterprises to find their footing and specialize for addressing niche issues in this rapidly evolving industry. Simultaneously, ADRIONWIND recognizes that capacity building and knowledge transfer are vital for the development of SMEs. We are committed to providing tailored programs that enhance soft skills, facilitate knowledge-sharing events, and create business-to-business opportunities.</w:t>
      </w:r>
    </w:p>
    <w:p w14:paraId="178A8F5A" w14:textId="3363A6CD" w:rsidR="00F64BCB" w:rsidRDefault="00F64BCB" w:rsidP="00F64BCB">
      <w:pPr>
        <w:jc w:val="both"/>
        <w:rPr>
          <w:b/>
          <w:bCs/>
          <w:sz w:val="28"/>
          <w:szCs w:val="28"/>
        </w:rPr>
      </w:pPr>
      <w:r w:rsidRPr="00F64BCB">
        <w:rPr>
          <w:b/>
          <w:bCs/>
          <w:sz w:val="28"/>
          <w:szCs w:val="28"/>
        </w:rPr>
        <w:t>PROJECT PARTNERS</w:t>
      </w:r>
    </w:p>
    <w:tbl>
      <w:tblPr>
        <w:tblStyle w:val="TableGrid"/>
        <w:tblW w:w="0" w:type="auto"/>
        <w:tblLook w:val="04A0" w:firstRow="1" w:lastRow="0" w:firstColumn="1" w:lastColumn="0" w:noHBand="0" w:noVBand="1"/>
      </w:tblPr>
      <w:tblGrid>
        <w:gridCol w:w="4675"/>
        <w:gridCol w:w="4675"/>
      </w:tblGrid>
      <w:tr w:rsidR="00F64BCB" w14:paraId="21F1268E" w14:textId="77777777" w:rsidTr="00F64BCB">
        <w:tc>
          <w:tcPr>
            <w:tcW w:w="4675" w:type="dxa"/>
          </w:tcPr>
          <w:p w14:paraId="48BE21BF" w14:textId="77777777" w:rsidR="00DD4849" w:rsidRPr="00DD4849" w:rsidRDefault="00DD4849" w:rsidP="00DD4849">
            <w:pPr>
              <w:jc w:val="both"/>
              <w:rPr>
                <w:sz w:val="24"/>
                <w:szCs w:val="24"/>
              </w:rPr>
            </w:pPr>
            <w:r w:rsidRPr="00DD4849">
              <w:rPr>
                <w:sz w:val="24"/>
                <w:szCs w:val="24"/>
              </w:rPr>
              <w:t>LP 1 | Faculty of Mechanical Engineering and Naval Architecture, UNIZAG, (CRO)</w:t>
            </w:r>
          </w:p>
          <w:p w14:paraId="412176FA" w14:textId="77777777" w:rsidR="00DD4849" w:rsidRPr="00DD4849" w:rsidRDefault="00DD4849" w:rsidP="00DD4849">
            <w:pPr>
              <w:jc w:val="both"/>
              <w:rPr>
                <w:sz w:val="24"/>
                <w:szCs w:val="24"/>
              </w:rPr>
            </w:pPr>
            <w:r w:rsidRPr="00DD4849">
              <w:rPr>
                <w:sz w:val="24"/>
                <w:szCs w:val="24"/>
              </w:rPr>
              <w:t xml:space="preserve">PP2 | </w:t>
            </w:r>
            <w:proofErr w:type="spellStart"/>
            <w:r w:rsidRPr="00DD4849">
              <w:rPr>
                <w:sz w:val="24"/>
                <w:szCs w:val="24"/>
              </w:rPr>
              <w:t>Fenice</w:t>
            </w:r>
            <w:proofErr w:type="spellEnd"/>
            <w:r w:rsidRPr="00DD4849">
              <w:rPr>
                <w:sz w:val="24"/>
                <w:szCs w:val="24"/>
              </w:rPr>
              <w:t xml:space="preserve"> Foundation NGO, (IT)</w:t>
            </w:r>
          </w:p>
          <w:p w14:paraId="3BDE1F73" w14:textId="77777777" w:rsidR="00DD4849" w:rsidRPr="00DD4849" w:rsidRDefault="00DD4849" w:rsidP="00DD4849">
            <w:pPr>
              <w:jc w:val="both"/>
              <w:rPr>
                <w:sz w:val="24"/>
                <w:szCs w:val="24"/>
              </w:rPr>
            </w:pPr>
            <w:r w:rsidRPr="00DD4849">
              <w:rPr>
                <w:sz w:val="24"/>
                <w:szCs w:val="24"/>
              </w:rPr>
              <w:t xml:space="preserve">PP3 | </w:t>
            </w:r>
            <w:proofErr w:type="spellStart"/>
            <w:r w:rsidRPr="00DD4849">
              <w:rPr>
                <w:sz w:val="24"/>
                <w:szCs w:val="24"/>
              </w:rPr>
              <w:t>KiNNO</w:t>
            </w:r>
            <w:proofErr w:type="spellEnd"/>
            <w:r w:rsidRPr="00DD4849">
              <w:rPr>
                <w:sz w:val="24"/>
                <w:szCs w:val="24"/>
              </w:rPr>
              <w:t xml:space="preserve"> INNOVATION INTERMEDIARIES LTD, (GR)</w:t>
            </w:r>
          </w:p>
          <w:p w14:paraId="53695552" w14:textId="77777777" w:rsidR="00DD4849" w:rsidRPr="00DD4849" w:rsidRDefault="00DD4849" w:rsidP="00DD4849">
            <w:pPr>
              <w:jc w:val="both"/>
              <w:rPr>
                <w:sz w:val="24"/>
                <w:szCs w:val="24"/>
              </w:rPr>
            </w:pPr>
            <w:r w:rsidRPr="00DD4849">
              <w:rPr>
                <w:sz w:val="24"/>
                <w:szCs w:val="24"/>
              </w:rPr>
              <w:t>PP4 | National Agency of Natural Resources, (AL)</w:t>
            </w:r>
          </w:p>
          <w:p w14:paraId="0E088E9D" w14:textId="0AFAFCC4" w:rsidR="00F64BCB" w:rsidRPr="00F64BCB" w:rsidRDefault="00DD4849" w:rsidP="00DD4849">
            <w:pPr>
              <w:jc w:val="both"/>
              <w:rPr>
                <w:sz w:val="24"/>
                <w:szCs w:val="24"/>
              </w:rPr>
            </w:pPr>
            <w:r w:rsidRPr="00DD4849">
              <w:rPr>
                <w:sz w:val="24"/>
                <w:szCs w:val="24"/>
              </w:rPr>
              <w:t xml:space="preserve">PP5 | Adria Innovation </w:t>
            </w:r>
            <w:proofErr w:type="spellStart"/>
            <w:r w:rsidRPr="00DD4849">
              <w:rPr>
                <w:sz w:val="24"/>
                <w:szCs w:val="24"/>
              </w:rPr>
              <w:t>Harbour</w:t>
            </w:r>
            <w:proofErr w:type="spellEnd"/>
            <w:r w:rsidRPr="00DD4849">
              <w:rPr>
                <w:sz w:val="24"/>
                <w:szCs w:val="24"/>
              </w:rPr>
              <w:t>, (CRO)</w:t>
            </w:r>
          </w:p>
        </w:tc>
        <w:tc>
          <w:tcPr>
            <w:tcW w:w="4675" w:type="dxa"/>
          </w:tcPr>
          <w:p w14:paraId="070750B1" w14:textId="77777777" w:rsidR="00DD4849" w:rsidRPr="00DD4849" w:rsidRDefault="00DD4849" w:rsidP="00DD4849">
            <w:pPr>
              <w:jc w:val="both"/>
              <w:rPr>
                <w:sz w:val="24"/>
                <w:szCs w:val="24"/>
              </w:rPr>
            </w:pPr>
            <w:r w:rsidRPr="00DD4849">
              <w:rPr>
                <w:sz w:val="24"/>
                <w:szCs w:val="24"/>
              </w:rPr>
              <w:t>PP 6 | FEAC Engineering Private Company, (GR)</w:t>
            </w:r>
          </w:p>
          <w:p w14:paraId="3EAF44E8" w14:textId="77777777" w:rsidR="00DD4849" w:rsidRPr="00DD4849" w:rsidRDefault="00DD4849" w:rsidP="00DD4849">
            <w:pPr>
              <w:jc w:val="both"/>
              <w:rPr>
                <w:sz w:val="24"/>
                <w:szCs w:val="24"/>
              </w:rPr>
            </w:pPr>
            <w:r w:rsidRPr="00DD4849">
              <w:rPr>
                <w:sz w:val="24"/>
                <w:szCs w:val="24"/>
              </w:rPr>
              <w:t xml:space="preserve">PP 7 | </w:t>
            </w:r>
            <w:proofErr w:type="spellStart"/>
            <w:r w:rsidRPr="00DD4849">
              <w:rPr>
                <w:sz w:val="24"/>
                <w:szCs w:val="24"/>
              </w:rPr>
              <w:t>CompanyUniversity</w:t>
            </w:r>
            <w:proofErr w:type="spellEnd"/>
            <w:r w:rsidRPr="00DD4849">
              <w:rPr>
                <w:sz w:val="24"/>
                <w:szCs w:val="24"/>
              </w:rPr>
              <w:t xml:space="preserve"> of Donja Gorica, (MNE)</w:t>
            </w:r>
          </w:p>
          <w:p w14:paraId="64F3515E" w14:textId="77777777" w:rsidR="00DD4849" w:rsidRPr="00DD4849" w:rsidRDefault="00DD4849" w:rsidP="00DD4849">
            <w:pPr>
              <w:jc w:val="both"/>
              <w:rPr>
                <w:sz w:val="24"/>
                <w:szCs w:val="24"/>
              </w:rPr>
            </w:pPr>
            <w:r w:rsidRPr="00DD4849">
              <w:rPr>
                <w:sz w:val="24"/>
                <w:szCs w:val="24"/>
              </w:rPr>
              <w:t>PP 8 | Regional Agency for Technology, Technology Transfer, and Innovation, (IT)</w:t>
            </w:r>
          </w:p>
          <w:p w14:paraId="7953E124" w14:textId="6585823A" w:rsidR="00F64BCB" w:rsidRPr="00F64BCB" w:rsidRDefault="00DD4849" w:rsidP="00DD4849">
            <w:pPr>
              <w:jc w:val="both"/>
              <w:rPr>
                <w:sz w:val="24"/>
                <w:szCs w:val="24"/>
              </w:rPr>
            </w:pPr>
            <w:r w:rsidRPr="00DD4849">
              <w:rPr>
                <w:sz w:val="24"/>
                <w:szCs w:val="24"/>
              </w:rPr>
              <w:t xml:space="preserve">PP 9 | Public Company </w:t>
            </w:r>
            <w:proofErr w:type="spellStart"/>
            <w:r w:rsidRPr="00DD4849">
              <w:rPr>
                <w:sz w:val="24"/>
                <w:szCs w:val="24"/>
              </w:rPr>
              <w:t>Elektroprivreda</w:t>
            </w:r>
            <w:proofErr w:type="spellEnd"/>
            <w:r w:rsidRPr="00DD4849">
              <w:rPr>
                <w:sz w:val="24"/>
                <w:szCs w:val="24"/>
              </w:rPr>
              <w:t xml:space="preserve"> BiH </w:t>
            </w:r>
            <w:proofErr w:type="spellStart"/>
            <w:r w:rsidRPr="00DD4849">
              <w:rPr>
                <w:sz w:val="24"/>
                <w:szCs w:val="24"/>
              </w:rPr>
              <w:t>d.d.</w:t>
            </w:r>
            <w:proofErr w:type="spellEnd"/>
            <w:r w:rsidRPr="00DD4849">
              <w:rPr>
                <w:sz w:val="24"/>
                <w:szCs w:val="24"/>
              </w:rPr>
              <w:t xml:space="preserve"> – Sarajevo, (BIH)</w:t>
            </w:r>
          </w:p>
        </w:tc>
      </w:tr>
    </w:tbl>
    <w:p w14:paraId="3E416237" w14:textId="77777777" w:rsidR="00161319" w:rsidRDefault="00161319" w:rsidP="00F64BCB">
      <w:pPr>
        <w:jc w:val="both"/>
        <w:rPr>
          <w:b/>
          <w:bCs/>
          <w:sz w:val="28"/>
          <w:szCs w:val="28"/>
        </w:rPr>
      </w:pPr>
    </w:p>
    <w:p w14:paraId="1C32B3C0" w14:textId="77777777" w:rsidR="00161319" w:rsidRDefault="00161319" w:rsidP="00F64BCB">
      <w:pPr>
        <w:jc w:val="both"/>
        <w:rPr>
          <w:b/>
          <w:bCs/>
          <w:sz w:val="28"/>
          <w:szCs w:val="28"/>
        </w:rPr>
      </w:pPr>
    </w:p>
    <w:p w14:paraId="1CF51716" w14:textId="1396E47E" w:rsidR="0085299A" w:rsidRDefault="0085299A" w:rsidP="00F64BCB">
      <w:pPr>
        <w:jc w:val="both"/>
        <w:rPr>
          <w:b/>
          <w:bCs/>
          <w:sz w:val="28"/>
          <w:szCs w:val="28"/>
        </w:rPr>
      </w:pPr>
      <w:r>
        <w:rPr>
          <w:b/>
          <w:bCs/>
          <w:sz w:val="28"/>
          <w:szCs w:val="28"/>
        </w:rPr>
        <w:t xml:space="preserve">WP1 </w:t>
      </w:r>
      <w:r w:rsidR="00A62691" w:rsidRPr="00A62691">
        <w:rPr>
          <w:b/>
          <w:bCs/>
          <w:sz w:val="28"/>
          <w:szCs w:val="28"/>
        </w:rPr>
        <w:t>Establishment of an Offshore Wind Energy Collaboration Network</w:t>
      </w:r>
    </w:p>
    <w:p w14:paraId="26206537" w14:textId="77777777" w:rsidR="00A62691" w:rsidRDefault="0085299A" w:rsidP="00F64BCB">
      <w:pPr>
        <w:jc w:val="both"/>
        <w:rPr>
          <w:b/>
          <w:bCs/>
          <w:sz w:val="28"/>
          <w:szCs w:val="28"/>
        </w:rPr>
      </w:pPr>
      <w:r>
        <w:rPr>
          <w:b/>
          <w:bCs/>
          <w:sz w:val="28"/>
          <w:szCs w:val="28"/>
        </w:rPr>
        <w:t xml:space="preserve">WP2 </w:t>
      </w:r>
      <w:r w:rsidR="00A62691" w:rsidRPr="00A62691">
        <w:rPr>
          <w:b/>
          <w:bCs/>
          <w:sz w:val="28"/>
          <w:szCs w:val="28"/>
        </w:rPr>
        <w:t>Development of a Transnational R&amp;I strategy</w:t>
      </w:r>
    </w:p>
    <w:p w14:paraId="79FD494A" w14:textId="109B6FF7" w:rsidR="0085299A" w:rsidRDefault="0085299A" w:rsidP="00F64BCB">
      <w:pPr>
        <w:jc w:val="both"/>
        <w:rPr>
          <w:b/>
          <w:bCs/>
          <w:sz w:val="28"/>
          <w:szCs w:val="28"/>
        </w:rPr>
      </w:pPr>
      <w:r>
        <w:rPr>
          <w:b/>
          <w:bCs/>
          <w:sz w:val="28"/>
          <w:szCs w:val="28"/>
        </w:rPr>
        <w:t xml:space="preserve">WP3 </w:t>
      </w:r>
      <w:r w:rsidR="00A62691" w:rsidRPr="00A62691">
        <w:rPr>
          <w:b/>
          <w:bCs/>
          <w:sz w:val="28"/>
          <w:szCs w:val="28"/>
        </w:rPr>
        <w:t>Capacity Building and Knowledge Transfer</w:t>
      </w:r>
    </w:p>
    <w:p w14:paraId="7193071F" w14:textId="77777777" w:rsidR="00161319" w:rsidRPr="00161319" w:rsidRDefault="00161319" w:rsidP="00161319">
      <w:pPr>
        <w:jc w:val="both"/>
        <w:rPr>
          <w:sz w:val="28"/>
          <w:szCs w:val="28"/>
        </w:rPr>
      </w:pPr>
      <w:r w:rsidRPr="00F64BCB">
        <w:rPr>
          <w:b/>
          <w:bCs/>
          <w:sz w:val="28"/>
          <w:szCs w:val="28"/>
        </w:rPr>
        <w:lastRenderedPageBreak/>
        <w:t>Project duration</w:t>
      </w:r>
      <w:r>
        <w:rPr>
          <w:b/>
          <w:bCs/>
          <w:sz w:val="28"/>
          <w:szCs w:val="28"/>
        </w:rPr>
        <w:t xml:space="preserve">: </w:t>
      </w:r>
      <w:r w:rsidRPr="00161319">
        <w:rPr>
          <w:sz w:val="28"/>
          <w:szCs w:val="28"/>
        </w:rPr>
        <w:t>36 Months</w:t>
      </w:r>
    </w:p>
    <w:p w14:paraId="00E879BD" w14:textId="77777777" w:rsidR="00161319" w:rsidRDefault="00161319" w:rsidP="00F64BCB">
      <w:pPr>
        <w:jc w:val="both"/>
        <w:rPr>
          <w:b/>
          <w:bCs/>
          <w:sz w:val="28"/>
          <w:szCs w:val="28"/>
        </w:rPr>
      </w:pPr>
    </w:p>
    <w:p w14:paraId="3520B9A0" w14:textId="45031A76" w:rsidR="00161319" w:rsidRPr="00F64BCB" w:rsidRDefault="00161319" w:rsidP="00F64BCB">
      <w:pPr>
        <w:jc w:val="both"/>
        <w:rPr>
          <w:b/>
          <w:bCs/>
          <w:sz w:val="28"/>
          <w:szCs w:val="28"/>
        </w:rPr>
      </w:pPr>
      <w:hyperlink r:id="rId6" w:history="1">
        <w:r w:rsidRPr="00161319">
          <w:rPr>
            <w:rStyle w:val="Hyperlink"/>
            <w:b/>
            <w:bCs/>
            <w:sz w:val="28"/>
            <w:szCs w:val="28"/>
          </w:rPr>
          <w:t xml:space="preserve">Interreg IPA ADRION </w:t>
        </w:r>
        <w:proofErr w:type="spellStart"/>
        <w:r w:rsidRPr="00161319">
          <w:rPr>
            <w:rStyle w:val="Hyperlink"/>
            <w:b/>
            <w:bCs/>
            <w:sz w:val="28"/>
            <w:szCs w:val="28"/>
          </w:rPr>
          <w:t>Programme</w:t>
        </w:r>
        <w:proofErr w:type="spellEnd"/>
      </w:hyperlink>
    </w:p>
    <w:sectPr w:rsidR="00161319" w:rsidRPr="00F64BCB" w:rsidSect="00DD4849">
      <w:headerReference w:type="default" r:id="rId7"/>
      <w:pgSz w:w="12240" w:h="15840"/>
      <w:pgMar w:top="293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9149" w14:textId="77777777" w:rsidR="009C7B5D" w:rsidRDefault="009C7B5D" w:rsidP="00F64BCB">
      <w:pPr>
        <w:spacing w:after="0" w:line="240" w:lineRule="auto"/>
      </w:pPr>
      <w:r>
        <w:separator/>
      </w:r>
    </w:p>
  </w:endnote>
  <w:endnote w:type="continuationSeparator" w:id="0">
    <w:p w14:paraId="1CF4490D" w14:textId="77777777" w:rsidR="009C7B5D" w:rsidRDefault="009C7B5D" w:rsidP="00F6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F73C" w14:textId="77777777" w:rsidR="009C7B5D" w:rsidRDefault="009C7B5D" w:rsidP="00F64BCB">
      <w:pPr>
        <w:spacing w:after="0" w:line="240" w:lineRule="auto"/>
      </w:pPr>
      <w:r>
        <w:separator/>
      </w:r>
    </w:p>
  </w:footnote>
  <w:footnote w:type="continuationSeparator" w:id="0">
    <w:p w14:paraId="6879D7C6" w14:textId="77777777" w:rsidR="009C7B5D" w:rsidRDefault="009C7B5D" w:rsidP="00F64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F625" w14:textId="39D244BE" w:rsidR="00F64BCB" w:rsidRDefault="00DD4849">
    <w:pPr>
      <w:pStyle w:val="Header"/>
    </w:pPr>
    <w:r>
      <w:rPr>
        <w:noProof/>
        <w:lang w:val="el-GR"/>
      </w:rPr>
      <w:drawing>
        <wp:anchor distT="0" distB="0" distL="114300" distR="114300" simplePos="0" relativeHeight="251659264" behindDoc="0" locked="0" layoutInCell="1" allowOverlap="1" wp14:anchorId="52A41180" wp14:editId="67B8F71C">
          <wp:simplePos x="0" y="0"/>
          <wp:positionH relativeFrom="margin">
            <wp:align>left</wp:align>
          </wp:positionH>
          <wp:positionV relativeFrom="paragraph">
            <wp:posOffset>0</wp:posOffset>
          </wp:positionV>
          <wp:extent cx="5113201" cy="895350"/>
          <wp:effectExtent l="0" t="0" r="0" b="0"/>
          <wp:wrapNone/>
          <wp:docPr id="2136342134"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588559"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3201"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CB"/>
    <w:rsid w:val="00161319"/>
    <w:rsid w:val="002E52A5"/>
    <w:rsid w:val="00730D3B"/>
    <w:rsid w:val="007328EB"/>
    <w:rsid w:val="0074159B"/>
    <w:rsid w:val="007C6850"/>
    <w:rsid w:val="0085299A"/>
    <w:rsid w:val="008D51FA"/>
    <w:rsid w:val="009C7B5D"/>
    <w:rsid w:val="00A62691"/>
    <w:rsid w:val="00DD4849"/>
    <w:rsid w:val="00EA32A1"/>
    <w:rsid w:val="00F06A0C"/>
    <w:rsid w:val="00F33F02"/>
    <w:rsid w:val="00F64BCB"/>
    <w:rsid w:val="00F7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9CF28"/>
  <w15:chartTrackingRefBased/>
  <w15:docId w15:val="{BB4984C5-ED07-4216-B4F8-3238BFD2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B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4B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B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B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B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B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4B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B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B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B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BCB"/>
    <w:rPr>
      <w:rFonts w:eastAsiaTheme="majorEastAsia" w:cstheme="majorBidi"/>
      <w:color w:val="272727" w:themeColor="text1" w:themeTint="D8"/>
    </w:rPr>
  </w:style>
  <w:style w:type="paragraph" w:styleId="Title">
    <w:name w:val="Title"/>
    <w:basedOn w:val="Normal"/>
    <w:next w:val="Normal"/>
    <w:link w:val="TitleChar"/>
    <w:uiPriority w:val="10"/>
    <w:qFormat/>
    <w:rsid w:val="00F64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BCB"/>
    <w:pPr>
      <w:spacing w:before="160"/>
      <w:jc w:val="center"/>
    </w:pPr>
    <w:rPr>
      <w:i/>
      <w:iCs/>
      <w:color w:val="404040" w:themeColor="text1" w:themeTint="BF"/>
    </w:rPr>
  </w:style>
  <w:style w:type="character" w:customStyle="1" w:styleId="QuoteChar">
    <w:name w:val="Quote Char"/>
    <w:basedOn w:val="DefaultParagraphFont"/>
    <w:link w:val="Quote"/>
    <w:uiPriority w:val="29"/>
    <w:rsid w:val="00F64BCB"/>
    <w:rPr>
      <w:i/>
      <w:iCs/>
      <w:color w:val="404040" w:themeColor="text1" w:themeTint="BF"/>
    </w:rPr>
  </w:style>
  <w:style w:type="paragraph" w:styleId="ListParagraph">
    <w:name w:val="List Paragraph"/>
    <w:basedOn w:val="Normal"/>
    <w:uiPriority w:val="34"/>
    <w:qFormat/>
    <w:rsid w:val="00F64BCB"/>
    <w:pPr>
      <w:ind w:left="720"/>
      <w:contextualSpacing/>
    </w:pPr>
  </w:style>
  <w:style w:type="character" w:styleId="IntenseEmphasis">
    <w:name w:val="Intense Emphasis"/>
    <w:basedOn w:val="DefaultParagraphFont"/>
    <w:uiPriority w:val="21"/>
    <w:qFormat/>
    <w:rsid w:val="00F64BCB"/>
    <w:rPr>
      <w:i/>
      <w:iCs/>
      <w:color w:val="2F5496" w:themeColor="accent1" w:themeShade="BF"/>
    </w:rPr>
  </w:style>
  <w:style w:type="paragraph" w:styleId="IntenseQuote">
    <w:name w:val="Intense Quote"/>
    <w:basedOn w:val="Normal"/>
    <w:next w:val="Normal"/>
    <w:link w:val="IntenseQuoteChar"/>
    <w:uiPriority w:val="30"/>
    <w:qFormat/>
    <w:rsid w:val="00F64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BCB"/>
    <w:rPr>
      <w:i/>
      <w:iCs/>
      <w:color w:val="2F5496" w:themeColor="accent1" w:themeShade="BF"/>
    </w:rPr>
  </w:style>
  <w:style w:type="character" w:styleId="IntenseReference">
    <w:name w:val="Intense Reference"/>
    <w:basedOn w:val="DefaultParagraphFont"/>
    <w:uiPriority w:val="32"/>
    <w:qFormat/>
    <w:rsid w:val="00F64BCB"/>
    <w:rPr>
      <w:b/>
      <w:bCs/>
      <w:smallCaps/>
      <w:color w:val="2F5496" w:themeColor="accent1" w:themeShade="BF"/>
      <w:spacing w:val="5"/>
    </w:rPr>
  </w:style>
  <w:style w:type="paragraph" w:styleId="Header">
    <w:name w:val="header"/>
    <w:basedOn w:val="Normal"/>
    <w:link w:val="HeaderChar"/>
    <w:uiPriority w:val="99"/>
    <w:unhideWhenUsed/>
    <w:rsid w:val="00F64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BCB"/>
  </w:style>
  <w:style w:type="paragraph" w:styleId="Footer">
    <w:name w:val="footer"/>
    <w:basedOn w:val="Normal"/>
    <w:link w:val="FooterChar"/>
    <w:uiPriority w:val="99"/>
    <w:unhideWhenUsed/>
    <w:rsid w:val="00F64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BCB"/>
  </w:style>
  <w:style w:type="table" w:styleId="TableGrid">
    <w:name w:val="Table Grid"/>
    <w:basedOn w:val="TableNormal"/>
    <w:uiPriority w:val="39"/>
    <w:rsid w:val="00F64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1319"/>
    <w:rPr>
      <w:color w:val="0563C1" w:themeColor="hyperlink"/>
      <w:u w:val="single"/>
    </w:rPr>
  </w:style>
  <w:style w:type="character" w:styleId="UnresolvedMention">
    <w:name w:val="Unresolved Mention"/>
    <w:basedOn w:val="DefaultParagraphFont"/>
    <w:uiPriority w:val="99"/>
    <w:semiHidden/>
    <w:unhideWhenUsed/>
    <w:rsid w:val="0016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rreg-ipa-adrion.e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Artan Leskoviku</dc:creator>
  <cp:keywords/>
  <dc:description/>
  <cp:lastModifiedBy>Artan Leskoviku</cp:lastModifiedBy>
  <cp:revision>3</cp:revision>
  <dcterms:created xsi:type="dcterms:W3CDTF">2025-03-01T22:41:00Z</dcterms:created>
  <dcterms:modified xsi:type="dcterms:W3CDTF">2025-03-01T22:45:00Z</dcterms:modified>
</cp:coreProperties>
</file>